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4905D" w14:textId="23F5F692" w:rsidR="116A23DD" w:rsidRPr="00AB119F" w:rsidRDefault="116A23DD" w:rsidP="7900E623">
      <w:pPr>
        <w:pStyle w:val="berschrift1"/>
        <w:rPr>
          <w:rFonts w:ascii="TT Norms Pro" w:hAnsi="TT Norms Pro"/>
          <w:sz w:val="24"/>
          <w:szCs w:val="24"/>
        </w:rPr>
      </w:pPr>
      <w:r w:rsidRPr="00AB119F">
        <w:rPr>
          <w:rFonts w:ascii="TT Norms Pro" w:eastAsia="Aptos" w:hAnsi="TT Norms Pro" w:cs="Aptos"/>
          <w:b/>
          <w:bCs/>
          <w:color w:val="000000" w:themeColor="text1"/>
          <w:sz w:val="33"/>
          <w:szCs w:val="33"/>
        </w:rPr>
        <w:t xml:space="preserve">Digitales </w:t>
      </w:r>
      <w:proofErr w:type="spellStart"/>
      <w:r w:rsidRPr="00AB119F">
        <w:rPr>
          <w:rFonts w:ascii="TT Norms Pro" w:eastAsia="Aptos" w:hAnsi="TT Norms Pro" w:cs="Aptos"/>
          <w:b/>
          <w:bCs/>
          <w:color w:val="000000" w:themeColor="text1"/>
          <w:sz w:val="33"/>
          <w:szCs w:val="33"/>
        </w:rPr>
        <w:t>Aktionskit</w:t>
      </w:r>
      <w:proofErr w:type="spellEnd"/>
    </w:p>
    <w:p w14:paraId="5CE43748" w14:textId="15995A16"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Aktionswochen gegen antimuslimischen Rassismus 2026</w:t>
      </w:r>
    </w:p>
    <w:p w14:paraId="2F5020A9" w14:textId="3C20DAF2"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Herzlich willkommen!</w:t>
      </w:r>
    </w:p>
    <w:p w14:paraId="4CAC1117" w14:textId="77777777" w:rsidR="00502064" w:rsidRDefault="116A23DD" w:rsidP="001A29EF">
      <w:pPr>
        <w:spacing w:before="167" w:after="167" w:line="360" w:lineRule="auto"/>
        <w:rPr>
          <w:rFonts w:ascii="TT Norms Pro" w:eastAsia="Aptos" w:hAnsi="TT Norms Pro" w:cs="Aptos"/>
          <w:color w:val="000000" w:themeColor="text1"/>
        </w:rPr>
      </w:pPr>
      <w:r w:rsidRPr="00AB119F">
        <w:rPr>
          <w:rFonts w:ascii="TT Norms Pro" w:eastAsia="Aptos" w:hAnsi="TT Norms Pro" w:cs="Aptos"/>
          <w:color w:val="000000" w:themeColor="text1"/>
        </w:rPr>
        <w:t xml:space="preserve">Vielen Dank, dass Du die Aktionswochen gegen antimuslimischen Rassismus unterstützt. Mit diesem </w:t>
      </w:r>
      <w:proofErr w:type="spellStart"/>
      <w:r w:rsidRPr="00AB119F">
        <w:rPr>
          <w:rFonts w:ascii="TT Norms Pro" w:eastAsia="Aptos" w:hAnsi="TT Norms Pro" w:cs="Aptos"/>
          <w:color w:val="000000" w:themeColor="text1"/>
        </w:rPr>
        <w:t>Aktionskit</w:t>
      </w:r>
      <w:proofErr w:type="spellEnd"/>
      <w:r w:rsidRPr="00AB119F">
        <w:rPr>
          <w:rFonts w:ascii="TT Norms Pro" w:eastAsia="Aptos" w:hAnsi="TT Norms Pro" w:cs="Aptos"/>
          <w:color w:val="000000" w:themeColor="text1"/>
        </w:rPr>
        <w:t xml:space="preserve"> möchten wir Dir Materialien, Informationen und Inspirationen an die Hand geben, um die Kampagne gemeinsam sichtbar zu machen und ein Zeichen gegen antimuslimischen Rassismus zu setzen.</w:t>
      </w:r>
    </w:p>
    <w:p w14:paraId="419F499C" w14:textId="77777777" w:rsidR="0086669F" w:rsidRDefault="0086669F" w:rsidP="001A29EF">
      <w:pPr>
        <w:spacing w:before="167" w:after="167" w:line="360" w:lineRule="auto"/>
        <w:rPr>
          <w:rFonts w:ascii="TT Norms Pro" w:eastAsia="Aptos" w:hAnsi="TT Norms Pro" w:cs="Aptos"/>
          <w:color w:val="000000" w:themeColor="text1"/>
        </w:rPr>
      </w:pPr>
    </w:p>
    <w:p w14:paraId="5F4998DD" w14:textId="3FC69DC4" w:rsidR="116A23DD" w:rsidRPr="00372D11" w:rsidRDefault="116A23DD" w:rsidP="001A29EF">
      <w:pPr>
        <w:spacing w:before="167" w:after="167" w:line="360" w:lineRule="auto"/>
        <w:rPr>
          <w:rFonts w:ascii="TT Norms Pro" w:hAnsi="TT Norms Pro"/>
          <w:sz w:val="18"/>
          <w:szCs w:val="18"/>
        </w:rPr>
      </w:pPr>
      <w:r w:rsidRPr="5EE44EFF">
        <w:rPr>
          <w:rFonts w:ascii="TT Norms Pro" w:eastAsia="Aptos" w:hAnsi="TT Norms Pro" w:cs="Aptos"/>
          <w:b/>
          <w:bCs/>
          <w:color w:val="E66022"/>
          <w:sz w:val="28"/>
          <w:szCs w:val="28"/>
        </w:rPr>
        <w:t>Inhalt</w:t>
      </w:r>
    </w:p>
    <w:p w14:paraId="20764994" w14:textId="2C94D592" w:rsidR="116A23DD" w:rsidRPr="006C5BCE" w:rsidRDefault="116A23DD" w:rsidP="00EE3117">
      <w:pPr>
        <w:pStyle w:val="berschrift3"/>
        <w:spacing w:before="195" w:after="195" w:line="240" w:lineRule="auto"/>
        <w:rPr>
          <w:rFonts w:ascii="TT Norms Pro" w:hAnsi="TT Norms Pro"/>
          <w:sz w:val="20"/>
          <w:szCs w:val="20"/>
        </w:rPr>
      </w:pPr>
      <w:r w:rsidRPr="006C5BCE">
        <w:rPr>
          <w:rFonts w:ascii="TT Norms Pro" w:eastAsia="Aptos" w:hAnsi="TT Norms Pro" w:cs="Aptos"/>
          <w:b/>
          <w:bCs/>
          <w:color w:val="000000" w:themeColor="text1"/>
          <w:sz w:val="20"/>
          <w:szCs w:val="20"/>
        </w:rPr>
        <w:t>1.</w:t>
      </w:r>
      <w:r w:rsidR="432E2AA8" w:rsidRPr="006C5BCE">
        <w:rPr>
          <w:rFonts w:ascii="TT Norms Pro" w:eastAsia="Aptos" w:hAnsi="TT Norms Pro" w:cs="Aptos"/>
          <w:b/>
          <w:bCs/>
          <w:color w:val="000000" w:themeColor="text1"/>
          <w:sz w:val="20"/>
          <w:szCs w:val="20"/>
        </w:rPr>
        <w:t>Die Aktionswochen &amp; Kampagne auf einen Blick</w:t>
      </w:r>
    </w:p>
    <w:p w14:paraId="04D4F95A" w14:textId="7C5C7687"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1.1 Was sind die Aktionswochen?</w:t>
      </w:r>
    </w:p>
    <w:p w14:paraId="6BCE1D1A" w14:textId="55668BC2"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1.2 Worum geht es in der Kampagne?</w:t>
      </w:r>
    </w:p>
    <w:p w14:paraId="46D592B9" w14:textId="293D2A9D"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1.3 Warum Perspektivwechsel?</w:t>
      </w:r>
    </w:p>
    <w:p w14:paraId="222937FD" w14:textId="2CDC7C5F" w:rsidR="116A23DD" w:rsidRPr="006C5BCE" w:rsidRDefault="116A23DD" w:rsidP="00EE3117">
      <w:pPr>
        <w:pStyle w:val="berschrift3"/>
        <w:spacing w:before="195" w:after="195" w:line="240" w:lineRule="auto"/>
        <w:rPr>
          <w:rFonts w:ascii="TT Norms Pro" w:hAnsi="TT Norms Pro"/>
          <w:sz w:val="20"/>
          <w:szCs w:val="20"/>
        </w:rPr>
      </w:pPr>
      <w:r w:rsidRPr="006C5BCE">
        <w:rPr>
          <w:rFonts w:ascii="TT Norms Pro" w:eastAsia="Aptos" w:hAnsi="TT Norms Pro" w:cs="Aptos"/>
          <w:b/>
          <w:bCs/>
          <w:color w:val="000000" w:themeColor="text1"/>
          <w:sz w:val="20"/>
          <w:szCs w:val="20"/>
        </w:rPr>
        <w:t>2. So kannst Du die Kampagne unterstützen</w:t>
      </w:r>
    </w:p>
    <w:p w14:paraId="62383D25" w14:textId="65B934A9"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 xml:space="preserve">2.1 Teile </w:t>
      </w:r>
      <w:proofErr w:type="spellStart"/>
      <w:r w:rsidRPr="006C5BCE">
        <w:rPr>
          <w:rFonts w:ascii="TT Norms Pro" w:eastAsia="Aptos" w:hAnsi="TT Norms Pro" w:cs="Aptos"/>
          <w:color w:val="000000" w:themeColor="text1"/>
          <w:sz w:val="20"/>
          <w:szCs w:val="20"/>
        </w:rPr>
        <w:t>Sharepics</w:t>
      </w:r>
      <w:proofErr w:type="spellEnd"/>
      <w:r w:rsidRPr="006C5BCE">
        <w:rPr>
          <w:rFonts w:ascii="TT Norms Pro" w:eastAsia="Aptos" w:hAnsi="TT Norms Pro" w:cs="Aptos"/>
          <w:color w:val="000000" w:themeColor="text1"/>
          <w:sz w:val="20"/>
          <w:szCs w:val="20"/>
        </w:rPr>
        <w:t xml:space="preserve"> und Story-Vorlagen</w:t>
      </w:r>
    </w:p>
    <w:p w14:paraId="2A8DA35C" w14:textId="3A6072C0"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2.2 Erstelle eigene Beiträge</w:t>
      </w:r>
    </w:p>
    <w:p w14:paraId="749A9648" w14:textId="34E2BD56"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2.3 Nutze die Kampagnenhashtags</w:t>
      </w:r>
    </w:p>
    <w:p w14:paraId="24038BEB" w14:textId="38D4D6F6"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2.4 Drucke Flyer aus und verteile sie</w:t>
      </w:r>
    </w:p>
    <w:p w14:paraId="4C49B21B" w14:textId="5F65F26D"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2.5 Sprich über die Aktionswochen</w:t>
      </w:r>
    </w:p>
    <w:p w14:paraId="76799A56" w14:textId="1EA8C48C"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2.6 Besuche oder organisiere Veranstaltungen</w:t>
      </w:r>
    </w:p>
    <w:p w14:paraId="0543A741" w14:textId="51900665" w:rsidR="116A23DD" w:rsidRPr="006C5BCE" w:rsidRDefault="116A23DD" w:rsidP="00EE3117">
      <w:pPr>
        <w:pStyle w:val="berschrift3"/>
        <w:spacing w:before="195" w:after="195" w:line="240" w:lineRule="auto"/>
        <w:rPr>
          <w:rFonts w:ascii="TT Norms Pro" w:hAnsi="TT Norms Pro"/>
          <w:sz w:val="20"/>
          <w:szCs w:val="20"/>
        </w:rPr>
      </w:pPr>
      <w:r w:rsidRPr="006C5BCE">
        <w:rPr>
          <w:rFonts w:ascii="TT Norms Pro" w:eastAsia="Aptos" w:hAnsi="TT Norms Pro" w:cs="Aptos"/>
          <w:b/>
          <w:bCs/>
          <w:color w:val="000000" w:themeColor="text1"/>
          <w:sz w:val="20"/>
          <w:szCs w:val="20"/>
        </w:rPr>
        <w:t>3. Materialien für Deine Öffentlichkeitsarbeit</w:t>
      </w:r>
    </w:p>
    <w:p w14:paraId="42665688" w14:textId="2B6401A4"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3.1 Textbausteine für Deine Beiträge</w:t>
      </w:r>
    </w:p>
    <w:p w14:paraId="484871CE" w14:textId="6189AD69" w:rsidR="116A23DD" w:rsidRPr="006C5BCE" w:rsidRDefault="116A23DD" w:rsidP="00EE3117">
      <w:pPr>
        <w:pStyle w:val="berschrift3"/>
        <w:spacing w:before="195" w:after="195" w:line="240" w:lineRule="auto"/>
        <w:rPr>
          <w:rFonts w:ascii="TT Norms Pro" w:hAnsi="TT Norms Pro"/>
          <w:sz w:val="20"/>
          <w:szCs w:val="20"/>
        </w:rPr>
      </w:pPr>
      <w:r w:rsidRPr="006C5BCE">
        <w:rPr>
          <w:rFonts w:ascii="TT Norms Pro" w:eastAsia="Aptos" w:hAnsi="TT Norms Pro" w:cs="Aptos"/>
          <w:b/>
          <w:bCs/>
          <w:color w:val="000000" w:themeColor="text1"/>
          <w:sz w:val="20"/>
          <w:szCs w:val="20"/>
        </w:rPr>
        <w:t>4. Zahlen &amp; Fakten zu antimuslimischem Rassismus</w:t>
      </w:r>
    </w:p>
    <w:p w14:paraId="2891CBB6" w14:textId="4CE789B1" w:rsidR="116A23DD" w:rsidRPr="006C5BCE" w:rsidRDefault="116A23DD" w:rsidP="00EE3117">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4.1 Wa</w:t>
      </w:r>
      <w:r w:rsidR="22D0E342" w:rsidRPr="006C5BCE">
        <w:rPr>
          <w:rFonts w:ascii="TT Norms Pro" w:eastAsia="Aptos" w:hAnsi="TT Norms Pro" w:cs="Aptos"/>
          <w:color w:val="000000" w:themeColor="text1"/>
          <w:sz w:val="20"/>
          <w:szCs w:val="20"/>
        </w:rPr>
        <w:t>s ist antimuslimischer Rassismus?</w:t>
      </w:r>
    </w:p>
    <w:p w14:paraId="676A4BD7" w14:textId="694EB0AD" w:rsidR="00D8665A" w:rsidRPr="006C5BCE" w:rsidRDefault="116A23DD" w:rsidP="006C5BCE">
      <w:pPr>
        <w:pStyle w:val="berschrift4"/>
        <w:spacing w:before="222" w:after="222" w:line="240" w:lineRule="auto"/>
        <w:ind w:firstLine="708"/>
        <w:rPr>
          <w:rFonts w:ascii="TT Norms Pro" w:hAnsi="TT Norms Pro"/>
          <w:sz w:val="20"/>
          <w:szCs w:val="20"/>
        </w:rPr>
      </w:pPr>
      <w:r w:rsidRPr="006C5BCE">
        <w:rPr>
          <w:rFonts w:ascii="TT Norms Pro" w:eastAsia="Aptos" w:hAnsi="TT Norms Pro" w:cs="Aptos"/>
          <w:color w:val="000000" w:themeColor="text1"/>
          <w:sz w:val="20"/>
          <w:szCs w:val="20"/>
        </w:rPr>
        <w:t>4.2 Quellen und weiterführende Informationen</w:t>
      </w:r>
    </w:p>
    <w:p w14:paraId="6C65F49B" w14:textId="57C414E0" w:rsidR="330D1420" w:rsidRDefault="330D1420" w:rsidP="330D1420">
      <w:pPr>
        <w:rPr>
          <w:rFonts w:ascii="TT Norms Pro" w:hAnsi="TT Norms Pro"/>
        </w:rPr>
      </w:pPr>
    </w:p>
    <w:p w14:paraId="29DD5DAF" w14:textId="6EA30C63" w:rsidR="116A23DD" w:rsidRPr="00AB119F" w:rsidRDefault="116A23DD" w:rsidP="7900E623">
      <w:pPr>
        <w:pStyle w:val="berschrift1"/>
        <w:spacing w:before="223" w:after="223"/>
        <w:rPr>
          <w:rFonts w:ascii="TT Norms Pro" w:hAnsi="TT Norms Pro"/>
        </w:rPr>
      </w:pPr>
      <w:r w:rsidRPr="00AB119F">
        <w:rPr>
          <w:rFonts w:ascii="TT Norms Pro" w:eastAsia="Aptos" w:hAnsi="TT Norms Pro" w:cs="Aptos"/>
          <w:b/>
          <w:bCs/>
          <w:color w:val="000000" w:themeColor="text1"/>
          <w:sz w:val="33"/>
          <w:szCs w:val="33"/>
        </w:rPr>
        <w:lastRenderedPageBreak/>
        <w:t xml:space="preserve">1. </w:t>
      </w:r>
      <w:r w:rsidR="277C2778" w:rsidRPr="00AB119F">
        <w:rPr>
          <w:rFonts w:ascii="TT Norms Pro" w:eastAsia="Aptos" w:hAnsi="TT Norms Pro" w:cs="Aptos"/>
          <w:b/>
          <w:bCs/>
          <w:color w:val="000000" w:themeColor="text1"/>
          <w:sz w:val="33"/>
          <w:szCs w:val="33"/>
        </w:rPr>
        <w:t>Die Aktionswochen &amp; Kampagne auf einen Blick</w:t>
      </w:r>
    </w:p>
    <w:p w14:paraId="1BA495B2" w14:textId="0A909B29"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1.1 Was sind die Aktionswochen?</w:t>
      </w:r>
    </w:p>
    <w:p w14:paraId="492F6866" w14:textId="4DA4C56A" w:rsidR="116A23DD" w:rsidRPr="00AB119F" w:rsidRDefault="116A23DD" w:rsidP="7900E623">
      <w:pPr>
        <w:spacing w:before="167" w:after="167"/>
        <w:rPr>
          <w:rFonts w:ascii="TT Norms Pro" w:eastAsia="Aptos" w:hAnsi="TT Norms Pro" w:cs="Aptos"/>
          <w:color w:val="000000" w:themeColor="text1"/>
        </w:rPr>
      </w:pPr>
      <w:r w:rsidRPr="00AB119F">
        <w:rPr>
          <w:rFonts w:ascii="TT Norms Pro" w:eastAsia="Aptos" w:hAnsi="TT Norms Pro" w:cs="Aptos"/>
          <w:color w:val="000000" w:themeColor="text1"/>
        </w:rPr>
        <w:t xml:space="preserve">Die Aktionswochen gegen antimuslimischen Rassismus finden vom </w:t>
      </w:r>
      <w:r w:rsidRPr="00AB119F">
        <w:rPr>
          <w:rFonts w:ascii="TT Norms Pro" w:eastAsia="Aptos" w:hAnsi="TT Norms Pro" w:cs="Aptos"/>
          <w:color w:val="E66022"/>
        </w:rPr>
        <w:t>17. Juni bis 1. Juli 2026</w:t>
      </w:r>
      <w:r w:rsidRPr="00AB119F">
        <w:rPr>
          <w:rFonts w:ascii="TT Norms Pro" w:eastAsia="Aptos" w:hAnsi="TT Norms Pro" w:cs="Aptos"/>
          <w:color w:val="000000" w:themeColor="text1"/>
        </w:rPr>
        <w:t xml:space="preserve"> statt. Bundesweit beteiligen sich Menschen, Initiativen, Vereine, Bildungseinrichtungen, Religionsgemeinschaften und viele weitere Akteur*innen mit Veranstaltungen, Aktionen und Beiträgen.</w:t>
      </w:r>
      <w:r w:rsidR="57832BFA" w:rsidRPr="00AB119F">
        <w:rPr>
          <w:rFonts w:ascii="TT Norms Pro" w:eastAsia="Aptos" w:hAnsi="TT Norms Pro" w:cs="Aptos"/>
          <w:color w:val="000000" w:themeColor="text1"/>
        </w:rPr>
        <w:t xml:space="preserve"> </w:t>
      </w:r>
    </w:p>
    <w:p w14:paraId="6AB4324A" w14:textId="534AD913" w:rsidR="57832BFA" w:rsidRPr="00AB119F" w:rsidRDefault="57832BFA" w:rsidP="7900E623">
      <w:pPr>
        <w:spacing w:before="167" w:after="167"/>
        <w:rPr>
          <w:rFonts w:ascii="TT Norms Pro" w:eastAsia="Aptos" w:hAnsi="TT Norms Pro" w:cs="Aptos"/>
          <w:color w:val="000000" w:themeColor="text1"/>
        </w:rPr>
      </w:pPr>
      <w:r w:rsidRPr="00AB119F">
        <w:rPr>
          <w:rFonts w:ascii="TT Norms Pro" w:eastAsia="Aptos" w:hAnsi="TT Norms Pro" w:cs="Aptos"/>
          <w:color w:val="000000" w:themeColor="text1"/>
        </w:rPr>
        <w:t xml:space="preserve">Alle Veranstaltungen innerhalb der Aktionswochen findest Du auf der Kampagnenwebsite: </w:t>
      </w:r>
      <w:hyperlink r:id="rId8">
        <w:r w:rsidRPr="00AB119F">
          <w:rPr>
            <w:rStyle w:val="Hyperlink"/>
            <w:rFonts w:ascii="TT Norms Pro" w:hAnsi="TT Norms Pro"/>
          </w:rPr>
          <w:t>www.allianzgegenhass.de</w:t>
        </w:r>
      </w:hyperlink>
      <w:r w:rsidRPr="00AB119F">
        <w:rPr>
          <w:rFonts w:ascii="TT Norms Pro" w:eastAsia="Aptos" w:hAnsi="TT Norms Pro" w:cs="Aptos"/>
          <w:color w:val="000000" w:themeColor="text1"/>
        </w:rPr>
        <w:t xml:space="preserve"> </w:t>
      </w:r>
    </w:p>
    <w:p w14:paraId="4178DD8B" w14:textId="25759810"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Gemeinsam machen wir auf antimuslimischen Rassismus aufmerksam, schaffen Räume für Austausch und setzen ein Zeichen für eine offene und solidarische Gesellschaft.</w:t>
      </w:r>
    </w:p>
    <w:p w14:paraId="26322638" w14:textId="79CBACAC"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1.2 Worum geht es in der Kampagne?</w:t>
      </w:r>
    </w:p>
    <w:p w14:paraId="51F9B4F9" w14:textId="2FE6C6D1" w:rsidR="116A23DD" w:rsidRPr="00AB119F" w:rsidRDefault="00EC6DD3" w:rsidP="7900E623">
      <w:pPr>
        <w:spacing w:before="167" w:after="167"/>
        <w:rPr>
          <w:rFonts w:ascii="TT Norms Pro" w:hAnsi="TT Norms Pro"/>
        </w:rPr>
      </w:pPr>
      <w:r>
        <w:rPr>
          <w:rFonts w:ascii="TT Norms Pro" w:eastAsia="Aptos" w:hAnsi="TT Norms Pro" w:cs="Aptos"/>
          <w:color w:val="000000" w:themeColor="text1"/>
        </w:rPr>
        <w:t xml:space="preserve">Ärztinnen, Lehrer, Nachbarn, Kolleginnen. </w:t>
      </w:r>
    </w:p>
    <w:p w14:paraId="197FD567" w14:textId="092C31AB"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 xml:space="preserve">Menschen, die unseren </w:t>
      </w:r>
      <w:r w:rsidR="00EC6DD3">
        <w:rPr>
          <w:rFonts w:ascii="TT Norms Pro" w:eastAsia="Aptos" w:hAnsi="TT Norms Pro" w:cs="Aptos"/>
          <w:color w:val="000000" w:themeColor="text1"/>
        </w:rPr>
        <w:t xml:space="preserve">gemeinsamen </w:t>
      </w:r>
      <w:r w:rsidRPr="00AB119F">
        <w:rPr>
          <w:rFonts w:ascii="TT Norms Pro" w:eastAsia="Aptos" w:hAnsi="TT Norms Pro" w:cs="Aptos"/>
          <w:color w:val="000000" w:themeColor="text1"/>
        </w:rPr>
        <w:t>Alltag prägen.</w:t>
      </w:r>
      <w:r w:rsidRPr="00AB119F">
        <w:rPr>
          <w:rFonts w:ascii="TT Norms Pro" w:hAnsi="TT Norms Pro"/>
        </w:rPr>
        <w:br/>
      </w:r>
      <w:r w:rsidRPr="00AB119F">
        <w:rPr>
          <w:rFonts w:ascii="TT Norms Pro" w:eastAsia="Aptos" w:hAnsi="TT Norms Pro" w:cs="Aptos"/>
          <w:color w:val="000000" w:themeColor="text1"/>
        </w:rPr>
        <w:t>Menschen mit unterschiedlichen Geschichten, Erfahrungen und Perspektiven.</w:t>
      </w:r>
    </w:p>
    <w:p w14:paraId="6704E7FF" w14:textId="785742FA"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Und doch sehen wir oft zuerst Zuschreibungen statt Menschen.</w:t>
      </w:r>
    </w:p>
    <w:p w14:paraId="2C3774F1" w14:textId="4B1A7BE0"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Die Kampagne 2026 lädt dazu ein, genauer hinzusehen. Sie zeigt Menschen in ihrer Vielfalt und macht sichtbar, wie antimuslimischer Rassismus den Blick auf Menschen verengen kann.</w:t>
      </w:r>
    </w:p>
    <w:p w14:paraId="4EE6B1A5" w14:textId="6C243E43"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 xml:space="preserve">Im Mittelpunkt stehen Portraits von Menschen mit </w:t>
      </w:r>
      <w:proofErr w:type="gramStart"/>
      <w:r w:rsidRPr="00AB119F">
        <w:rPr>
          <w:rFonts w:ascii="TT Norms Pro" w:eastAsia="Aptos" w:hAnsi="TT Norms Pro" w:cs="Aptos"/>
          <w:color w:val="000000" w:themeColor="text1"/>
        </w:rPr>
        <w:t>ganz unterschiedlichen</w:t>
      </w:r>
      <w:proofErr w:type="gramEnd"/>
      <w:r w:rsidRPr="00AB119F">
        <w:rPr>
          <w:rFonts w:ascii="TT Norms Pro" w:eastAsia="Aptos" w:hAnsi="TT Norms Pro" w:cs="Aptos"/>
          <w:color w:val="000000" w:themeColor="text1"/>
        </w:rPr>
        <w:t xml:space="preserve"> Lebenswegen, Interessen und Erfahrungen. Die Kampagne erzählt keine Heldengeschichten. Sie lädt dazu ein, Menschen in ihrer Individualität wahrzunehmen – statt sie auf Vorurteile oder Zuschreibungen zu reduzieren.</w:t>
      </w:r>
    </w:p>
    <w:p w14:paraId="20FE8621" w14:textId="18CA7430"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1.3 Warum Perspektivwechsel?</w:t>
      </w:r>
    </w:p>
    <w:p w14:paraId="1858E61D" w14:textId="4BE1009B"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Vorurteile entstehen oft nicht aus persönlichen Erfahrungen, sondern aus übernommenen Bildern und Erzählungen.</w:t>
      </w:r>
    </w:p>
    <w:p w14:paraId="09C65CEB" w14:textId="68629338"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Deshalb setzt die Kampagne auf Perspektivwechsel.</w:t>
      </w:r>
    </w:p>
    <w:p w14:paraId="7B6E111F" w14:textId="606F8FE4"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 xml:space="preserve">Sie möchte dazu anregen, Gewohntes zu hinterfragen, genauer hinzusehen und </w:t>
      </w:r>
      <w:r w:rsidR="0C55B7B9" w:rsidRPr="00AB119F">
        <w:rPr>
          <w:rFonts w:ascii="TT Norms Pro" w:eastAsia="Aptos" w:hAnsi="TT Norms Pro" w:cs="Aptos"/>
          <w:color w:val="000000" w:themeColor="text1"/>
        </w:rPr>
        <w:t xml:space="preserve">so </w:t>
      </w:r>
      <w:r w:rsidRPr="00AB119F">
        <w:rPr>
          <w:rFonts w:ascii="TT Norms Pro" w:eastAsia="Aptos" w:hAnsi="TT Norms Pro" w:cs="Aptos"/>
          <w:color w:val="000000" w:themeColor="text1"/>
        </w:rPr>
        <w:t>die eigene Sichtweise zu erweitern. Denn manchmal genügt ein zweiter Blick, um Dinge anders zu sehen.</w:t>
      </w:r>
    </w:p>
    <w:p w14:paraId="0CCBA4D2" w14:textId="4E07D1B4" w:rsidR="7900E623" w:rsidRPr="00AB119F" w:rsidRDefault="7900E623">
      <w:pPr>
        <w:rPr>
          <w:rFonts w:ascii="TT Norms Pro" w:hAnsi="TT Norms Pro"/>
        </w:rPr>
      </w:pPr>
    </w:p>
    <w:p w14:paraId="1651A8AB" w14:textId="5B9C0974" w:rsidR="116A23DD" w:rsidRPr="00AB119F" w:rsidRDefault="116A23DD" w:rsidP="7900E623">
      <w:pPr>
        <w:pStyle w:val="berschrift1"/>
        <w:spacing w:before="223" w:after="223"/>
        <w:rPr>
          <w:rFonts w:ascii="TT Norms Pro" w:hAnsi="TT Norms Pro"/>
        </w:rPr>
      </w:pPr>
      <w:r w:rsidRPr="00AB119F">
        <w:rPr>
          <w:rFonts w:ascii="TT Norms Pro" w:eastAsia="Aptos" w:hAnsi="TT Norms Pro" w:cs="Aptos"/>
          <w:b/>
          <w:bCs/>
          <w:color w:val="000000" w:themeColor="text1"/>
          <w:sz w:val="33"/>
          <w:szCs w:val="33"/>
        </w:rPr>
        <w:lastRenderedPageBreak/>
        <w:t>2. So kannst Du die Kampagne unterstützen</w:t>
      </w:r>
    </w:p>
    <w:p w14:paraId="0BB6CD39" w14:textId="62331ECF"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Jeder Beitrag hilft dabei, die Aktionswochen sichtbarer zu machen und mehr Menschen zu erreichen.</w:t>
      </w:r>
    </w:p>
    <w:p w14:paraId="0F4A0E0C" w14:textId="21F0D4DD"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 xml:space="preserve">2.1 Teile </w:t>
      </w:r>
      <w:proofErr w:type="spellStart"/>
      <w:r w:rsidRPr="00AB119F">
        <w:rPr>
          <w:rFonts w:ascii="TT Norms Pro" w:eastAsia="Aptos" w:hAnsi="TT Norms Pro" w:cs="Aptos"/>
          <w:b/>
          <w:bCs/>
          <w:color w:val="000000" w:themeColor="text1"/>
          <w:sz w:val="24"/>
          <w:szCs w:val="24"/>
        </w:rPr>
        <w:t>Sharepics</w:t>
      </w:r>
      <w:proofErr w:type="spellEnd"/>
      <w:r w:rsidRPr="00AB119F">
        <w:rPr>
          <w:rFonts w:ascii="TT Norms Pro" w:eastAsia="Aptos" w:hAnsi="TT Norms Pro" w:cs="Aptos"/>
          <w:b/>
          <w:bCs/>
          <w:color w:val="000000" w:themeColor="text1"/>
          <w:sz w:val="24"/>
          <w:szCs w:val="24"/>
        </w:rPr>
        <w:t xml:space="preserve"> und Story-Vorlagen</w:t>
      </w:r>
    </w:p>
    <w:p w14:paraId="6B99821F" w14:textId="2FE7E374"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Nutze die bereitgestellten Motive für Instagram, Facebook, LinkedIn oder andere Plattformen. Schon das Teilen eines Beitrags kann dazu beitragen, neue Menschen auf die Kampagne aufmerksam zu machen.</w:t>
      </w:r>
    </w:p>
    <w:p w14:paraId="65D07B7B" w14:textId="591ED23D"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2.2 Erstelle eigene Beiträge</w:t>
      </w:r>
    </w:p>
    <w:p w14:paraId="624EB276" w14:textId="48A77719"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Nutze die Kampagnenmotive und ergänze sie um Deine eigenen Gedanken, Erfahrungen oder Perspektiven. Persönliche Beiträge wirken oft besonders authentisch.</w:t>
      </w:r>
    </w:p>
    <w:p w14:paraId="5C35E229" w14:textId="74D2FFA9"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2.3 Nutze die Kampagnenhashtags</w:t>
      </w:r>
    </w:p>
    <w:p w14:paraId="26858CCC" w14:textId="65F73A12"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Verwende die offiziellen Kampagnenhashtags, damit Beiträge sichtbar werden und miteinander verknüpft sind.</w:t>
      </w:r>
    </w:p>
    <w:p w14:paraId="5B183F4F" w14:textId="621C055E" w:rsidR="31D5B3DF" w:rsidRPr="00AB119F" w:rsidRDefault="31D5B3DF" w:rsidP="7900E623">
      <w:pPr>
        <w:spacing w:before="167" w:after="167"/>
        <w:rPr>
          <w:rFonts w:ascii="TT Norms Pro" w:hAnsi="TT Norms Pro"/>
        </w:rPr>
      </w:pPr>
      <w:r w:rsidRPr="00AB119F">
        <w:rPr>
          <w:rFonts w:ascii="TT Norms Pro" w:eastAsia="Aptos" w:hAnsi="TT Norms Pro" w:cs="Aptos"/>
          <w:color w:val="E66022"/>
        </w:rPr>
        <w:t>#EinTeil</w:t>
      </w:r>
      <w:r w:rsidR="00EC6DD3">
        <w:rPr>
          <w:rFonts w:ascii="TT Norms Pro" w:eastAsia="Aptos" w:hAnsi="TT Norms Pro" w:cs="Aptos"/>
          <w:color w:val="E66022"/>
        </w:rPr>
        <w:t>V</w:t>
      </w:r>
      <w:r w:rsidRPr="00AB119F">
        <w:rPr>
          <w:rFonts w:ascii="TT Norms Pro" w:eastAsia="Aptos" w:hAnsi="TT Norms Pro" w:cs="Aptos"/>
          <w:color w:val="E66022"/>
        </w:rPr>
        <w:t xml:space="preserve">onDir </w:t>
      </w:r>
      <w:r w:rsidRPr="00AB119F">
        <w:rPr>
          <w:rFonts w:ascii="TT Norms Pro" w:eastAsia="Aptos" w:hAnsi="TT Norms Pro" w:cs="Aptos"/>
          <w:color w:val="000000" w:themeColor="text1"/>
        </w:rPr>
        <w:t xml:space="preserve">und </w:t>
      </w:r>
      <w:r w:rsidRPr="00AB119F">
        <w:rPr>
          <w:rFonts w:ascii="TT Norms Pro" w:eastAsia="Aptos" w:hAnsi="TT Norms Pro" w:cs="Aptos"/>
          <w:color w:val="E66022"/>
        </w:rPr>
        <w:t>#KeinPlatzFürHass</w:t>
      </w:r>
    </w:p>
    <w:p w14:paraId="7853D9DE" w14:textId="3B9ACECC"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2.4 Drucke Flyer aus und verteile sie</w:t>
      </w:r>
    </w:p>
    <w:p w14:paraId="1136FCC6" w14:textId="2157E32B" w:rsidR="1A47152D" w:rsidRPr="00AB119F" w:rsidRDefault="1A47152D" w:rsidP="7900E623">
      <w:pPr>
        <w:spacing w:before="167" w:after="167"/>
        <w:rPr>
          <w:rFonts w:ascii="TT Norms Pro" w:hAnsi="TT Norms Pro"/>
        </w:rPr>
      </w:pPr>
      <w:r w:rsidRPr="00AB119F">
        <w:rPr>
          <w:rFonts w:ascii="TT Norms Pro" w:eastAsia="Aptos" w:hAnsi="TT Norms Pro" w:cs="Aptos"/>
          <w:color w:val="000000" w:themeColor="text1"/>
        </w:rPr>
        <w:t xml:space="preserve">Im digitalen Aktionspaket findest Du </w:t>
      </w:r>
      <w:r w:rsidR="116A23DD" w:rsidRPr="00AB119F">
        <w:rPr>
          <w:rFonts w:ascii="TT Norms Pro" w:eastAsia="Aptos" w:hAnsi="TT Norms Pro" w:cs="Aptos"/>
          <w:color w:val="000000" w:themeColor="text1"/>
        </w:rPr>
        <w:t>Flyer</w:t>
      </w:r>
      <w:r w:rsidR="4F63DA29" w:rsidRPr="00AB119F">
        <w:rPr>
          <w:rFonts w:ascii="TT Norms Pro" w:eastAsia="Aptos" w:hAnsi="TT Norms Pro" w:cs="Aptos"/>
          <w:color w:val="000000" w:themeColor="text1"/>
        </w:rPr>
        <w:t>, die Du</w:t>
      </w:r>
      <w:r w:rsidR="116A23DD" w:rsidRPr="00AB119F">
        <w:rPr>
          <w:rFonts w:ascii="TT Norms Pro" w:eastAsia="Aptos" w:hAnsi="TT Norms Pro" w:cs="Aptos"/>
          <w:color w:val="000000" w:themeColor="text1"/>
        </w:rPr>
        <w:t xml:space="preserve"> selbst ausdruc</w:t>
      </w:r>
      <w:r w:rsidR="0DE0A792" w:rsidRPr="00AB119F">
        <w:rPr>
          <w:rFonts w:ascii="TT Norms Pro" w:eastAsia="Aptos" w:hAnsi="TT Norms Pro" w:cs="Aptos"/>
          <w:color w:val="000000" w:themeColor="text1"/>
        </w:rPr>
        <w:t>ken</w:t>
      </w:r>
      <w:r w:rsidR="116A23DD" w:rsidRPr="00AB119F">
        <w:rPr>
          <w:rFonts w:ascii="TT Norms Pro" w:eastAsia="Aptos" w:hAnsi="TT Norms Pro" w:cs="Aptos"/>
          <w:color w:val="000000" w:themeColor="text1"/>
        </w:rPr>
        <w:t xml:space="preserve"> und </w:t>
      </w:r>
      <w:r w:rsidR="40E91639" w:rsidRPr="00AB119F">
        <w:rPr>
          <w:rFonts w:ascii="TT Norms Pro" w:eastAsia="Aptos" w:hAnsi="TT Norms Pro" w:cs="Aptos"/>
          <w:color w:val="000000" w:themeColor="text1"/>
        </w:rPr>
        <w:t>falten kannst</w:t>
      </w:r>
      <w:r w:rsidR="116A23DD" w:rsidRPr="00AB119F">
        <w:rPr>
          <w:rFonts w:ascii="TT Norms Pro" w:eastAsia="Aptos" w:hAnsi="TT Norms Pro" w:cs="Aptos"/>
          <w:color w:val="000000" w:themeColor="text1"/>
        </w:rPr>
        <w:t>. Lege sie bei Veranstaltungen aus oder teile sie mit Interessierten.</w:t>
      </w:r>
    </w:p>
    <w:p w14:paraId="718F060F" w14:textId="651D0101"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2.5 Sprich über die Aktionswochen</w:t>
      </w:r>
    </w:p>
    <w:p w14:paraId="48854947" w14:textId="60717916"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 xml:space="preserve">Erzähle </w:t>
      </w:r>
      <w:r w:rsidRPr="00EC6DD3">
        <w:rPr>
          <w:rFonts w:ascii="TT Norms Pro" w:eastAsia="Aptos" w:hAnsi="TT Norms Pro" w:cs="Aptos"/>
          <w:color w:val="000000" w:themeColor="text1"/>
        </w:rPr>
        <w:t>Freund</w:t>
      </w:r>
      <w:r w:rsidR="00EC6DD3">
        <w:rPr>
          <w:rFonts w:ascii="TT Norms Pro" w:eastAsia="Aptos" w:hAnsi="TT Norms Pro" w:cs="Aptos"/>
          <w:color w:val="000000" w:themeColor="text1"/>
        </w:rPr>
        <w:t>*</w:t>
      </w:r>
      <w:r w:rsidRPr="00EC6DD3">
        <w:rPr>
          <w:rFonts w:ascii="TT Norms Pro" w:eastAsia="Aptos" w:hAnsi="TT Norms Pro" w:cs="Aptos"/>
          <w:color w:val="000000" w:themeColor="text1"/>
        </w:rPr>
        <w:t>innen, Kolleg</w:t>
      </w:r>
      <w:r w:rsidR="00EC6DD3">
        <w:rPr>
          <w:rFonts w:ascii="TT Norms Pro" w:eastAsia="Aptos" w:hAnsi="TT Norms Pro" w:cs="Aptos"/>
          <w:color w:val="000000" w:themeColor="text1"/>
        </w:rPr>
        <w:t>*</w:t>
      </w:r>
      <w:r w:rsidRPr="00EC6DD3">
        <w:rPr>
          <w:rFonts w:ascii="TT Norms Pro" w:eastAsia="Aptos" w:hAnsi="TT Norms Pro" w:cs="Aptos"/>
          <w:color w:val="000000" w:themeColor="text1"/>
        </w:rPr>
        <w:t>innen, Vereinsmitgliedern</w:t>
      </w:r>
      <w:r w:rsidRPr="00AB119F">
        <w:rPr>
          <w:rFonts w:ascii="TT Norms Pro" w:eastAsia="Aptos" w:hAnsi="TT Norms Pro" w:cs="Aptos"/>
          <w:color w:val="000000" w:themeColor="text1"/>
        </w:rPr>
        <w:t xml:space="preserve"> oder Deiner Community von den Aktionswochen und ihren Veranstaltungen.</w:t>
      </w:r>
    </w:p>
    <w:p w14:paraId="78E05496" w14:textId="0B38C634" w:rsidR="116A23DD" w:rsidRPr="00AB119F" w:rsidRDefault="116A23DD" w:rsidP="7900E623">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2.6 Besuche oder organisiere Veranstaltungen</w:t>
      </w:r>
    </w:p>
    <w:p w14:paraId="3E5AF565" w14:textId="2B7CF5D6"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 xml:space="preserve">Ob Vortrag, Workshop, Gesprächsrunde oder </w:t>
      </w:r>
      <w:proofErr w:type="spellStart"/>
      <w:r w:rsidRPr="00AB119F">
        <w:rPr>
          <w:rFonts w:ascii="TT Norms Pro" w:eastAsia="Aptos" w:hAnsi="TT Norms Pro" w:cs="Aptos"/>
          <w:color w:val="000000" w:themeColor="text1"/>
        </w:rPr>
        <w:t>Social</w:t>
      </w:r>
      <w:proofErr w:type="spellEnd"/>
      <w:r w:rsidRPr="00AB119F">
        <w:rPr>
          <w:rFonts w:ascii="TT Norms Pro" w:eastAsia="Aptos" w:hAnsi="TT Norms Pro" w:cs="Aptos"/>
          <w:color w:val="000000" w:themeColor="text1"/>
        </w:rPr>
        <w:t>-Media-Aktion – jede Beteiligung trägt dazu bei, antimuslimischen Rassismus sichtbar zu machen und Perspektivwechsel anzustoßen.</w:t>
      </w:r>
    </w:p>
    <w:p w14:paraId="0C7D84FC" w14:textId="6455F67A" w:rsidR="7900E623" w:rsidRPr="00AB119F" w:rsidRDefault="7900E623">
      <w:pPr>
        <w:rPr>
          <w:rFonts w:ascii="TT Norms Pro" w:hAnsi="TT Norms Pro"/>
        </w:rPr>
      </w:pPr>
    </w:p>
    <w:p w14:paraId="17514FB3" w14:textId="432CF672" w:rsidR="7900E623" w:rsidRPr="00AB119F" w:rsidRDefault="7900E623">
      <w:pPr>
        <w:rPr>
          <w:rFonts w:ascii="TT Norms Pro" w:hAnsi="TT Norms Pro"/>
        </w:rPr>
      </w:pPr>
    </w:p>
    <w:p w14:paraId="41785B56" w14:textId="19415F9A" w:rsidR="7900E623" w:rsidRPr="00AB119F" w:rsidRDefault="7900E623">
      <w:pPr>
        <w:rPr>
          <w:rFonts w:ascii="TT Norms Pro" w:hAnsi="TT Norms Pro"/>
        </w:rPr>
      </w:pPr>
    </w:p>
    <w:p w14:paraId="2F171640" w14:textId="26379E34" w:rsidR="116A23DD" w:rsidRPr="00AB119F" w:rsidRDefault="116A23DD" w:rsidP="7900E623">
      <w:pPr>
        <w:pStyle w:val="berschrift1"/>
        <w:spacing w:before="223" w:after="223"/>
        <w:rPr>
          <w:rFonts w:ascii="TT Norms Pro" w:hAnsi="TT Norms Pro"/>
        </w:rPr>
      </w:pPr>
      <w:r w:rsidRPr="00AB119F">
        <w:rPr>
          <w:rFonts w:ascii="TT Norms Pro" w:eastAsia="Aptos" w:hAnsi="TT Norms Pro" w:cs="Aptos"/>
          <w:b/>
          <w:bCs/>
          <w:color w:val="000000" w:themeColor="text1"/>
          <w:sz w:val="33"/>
          <w:szCs w:val="33"/>
        </w:rPr>
        <w:lastRenderedPageBreak/>
        <w:t>3. Materialien für Deine Öffentlichkeitsarbeit</w:t>
      </w:r>
    </w:p>
    <w:p w14:paraId="37924E28" w14:textId="29D0F96B" w:rsidR="116A23DD" w:rsidRPr="00AB119F" w:rsidRDefault="116A23DD" w:rsidP="7900E623">
      <w:pPr>
        <w:spacing w:before="167" w:after="167"/>
        <w:rPr>
          <w:rFonts w:ascii="TT Norms Pro" w:hAnsi="TT Norms Pro"/>
        </w:rPr>
      </w:pPr>
      <w:r w:rsidRPr="00AB119F">
        <w:rPr>
          <w:rFonts w:ascii="TT Norms Pro" w:eastAsia="Aptos" w:hAnsi="TT Norms Pro" w:cs="Aptos"/>
          <w:color w:val="000000" w:themeColor="text1"/>
        </w:rPr>
        <w:t xml:space="preserve">In diesem </w:t>
      </w:r>
      <w:proofErr w:type="spellStart"/>
      <w:r w:rsidRPr="00AB119F">
        <w:rPr>
          <w:rFonts w:ascii="TT Norms Pro" w:eastAsia="Aptos" w:hAnsi="TT Norms Pro" w:cs="Aptos"/>
          <w:color w:val="000000" w:themeColor="text1"/>
        </w:rPr>
        <w:t>Aktionskit</w:t>
      </w:r>
      <w:proofErr w:type="spellEnd"/>
      <w:r w:rsidRPr="00AB119F">
        <w:rPr>
          <w:rFonts w:ascii="TT Norms Pro" w:eastAsia="Aptos" w:hAnsi="TT Norms Pro" w:cs="Aptos"/>
          <w:color w:val="000000" w:themeColor="text1"/>
        </w:rPr>
        <w:t xml:space="preserve"> findest Du verschiedene Materialien, die Du für Deine Öffentlichkeitsarbeit nutzen kannst:</w:t>
      </w:r>
    </w:p>
    <w:p w14:paraId="3DE9AC6C" w14:textId="2EFACFDD" w:rsidR="116A23DD" w:rsidRPr="00AB119F" w:rsidRDefault="116A23DD" w:rsidP="00F451B6">
      <w:pPr>
        <w:pStyle w:val="Listenabsatz"/>
        <w:numPr>
          <w:ilvl w:val="0"/>
          <w:numId w:val="9"/>
        </w:numPr>
        <w:spacing w:before="167" w:after="167"/>
        <w:rPr>
          <w:rFonts w:ascii="TT Norms Pro" w:eastAsia="Aptos" w:hAnsi="TT Norms Pro" w:cs="Aptos"/>
          <w:color w:val="000000" w:themeColor="text1"/>
        </w:rPr>
      </w:pPr>
      <w:proofErr w:type="spellStart"/>
      <w:r w:rsidRPr="00AB119F">
        <w:rPr>
          <w:rFonts w:ascii="TT Norms Pro" w:eastAsia="Aptos" w:hAnsi="TT Norms Pro" w:cs="Aptos"/>
          <w:color w:val="000000" w:themeColor="text1"/>
        </w:rPr>
        <w:t>Sharepics</w:t>
      </w:r>
      <w:proofErr w:type="spellEnd"/>
      <w:r w:rsidRPr="00AB119F">
        <w:rPr>
          <w:rFonts w:ascii="TT Norms Pro" w:eastAsia="Aptos" w:hAnsi="TT Norms Pro" w:cs="Aptos"/>
          <w:color w:val="000000" w:themeColor="text1"/>
        </w:rPr>
        <w:t xml:space="preserve"> für </w:t>
      </w:r>
      <w:proofErr w:type="spellStart"/>
      <w:r w:rsidRPr="00AB119F">
        <w:rPr>
          <w:rFonts w:ascii="TT Norms Pro" w:eastAsia="Aptos" w:hAnsi="TT Norms Pro" w:cs="Aptos"/>
          <w:color w:val="000000" w:themeColor="text1"/>
        </w:rPr>
        <w:t>Social</w:t>
      </w:r>
      <w:proofErr w:type="spellEnd"/>
      <w:r w:rsidRPr="00AB119F">
        <w:rPr>
          <w:rFonts w:ascii="TT Norms Pro" w:eastAsia="Aptos" w:hAnsi="TT Norms Pro" w:cs="Aptos"/>
          <w:color w:val="000000" w:themeColor="text1"/>
        </w:rPr>
        <w:t xml:space="preserve"> Media</w:t>
      </w:r>
    </w:p>
    <w:p w14:paraId="0ACA62EA" w14:textId="63304831" w:rsidR="116A23DD" w:rsidRPr="00AB119F" w:rsidRDefault="116A23DD" w:rsidP="00F451B6">
      <w:pPr>
        <w:pStyle w:val="Listenabsatz"/>
        <w:numPr>
          <w:ilvl w:val="0"/>
          <w:numId w:val="9"/>
        </w:numPr>
        <w:spacing w:before="167" w:after="167"/>
        <w:rPr>
          <w:rFonts w:ascii="TT Norms Pro" w:eastAsia="Aptos" w:hAnsi="TT Norms Pro" w:cs="Aptos"/>
          <w:color w:val="000000" w:themeColor="text1"/>
        </w:rPr>
      </w:pPr>
      <w:r w:rsidRPr="00AB119F">
        <w:rPr>
          <w:rFonts w:ascii="TT Norms Pro" w:eastAsia="Aptos" w:hAnsi="TT Norms Pro" w:cs="Aptos"/>
          <w:color w:val="000000" w:themeColor="text1"/>
        </w:rPr>
        <w:t>Story-Sticker</w:t>
      </w:r>
    </w:p>
    <w:p w14:paraId="0FF48D96" w14:textId="6CDFCA1D" w:rsidR="116A23DD" w:rsidRPr="00AB119F" w:rsidRDefault="116A23DD" w:rsidP="00F451B6">
      <w:pPr>
        <w:pStyle w:val="Listenabsatz"/>
        <w:numPr>
          <w:ilvl w:val="0"/>
          <w:numId w:val="9"/>
        </w:numPr>
        <w:spacing w:before="167" w:after="167"/>
        <w:rPr>
          <w:rFonts w:ascii="TT Norms Pro" w:eastAsia="Aptos" w:hAnsi="TT Norms Pro" w:cs="Aptos"/>
          <w:color w:val="000000" w:themeColor="text1"/>
        </w:rPr>
      </w:pPr>
      <w:r w:rsidRPr="00AB119F">
        <w:rPr>
          <w:rFonts w:ascii="TT Norms Pro" w:eastAsia="Aptos" w:hAnsi="TT Norms Pro" w:cs="Aptos"/>
          <w:color w:val="000000" w:themeColor="text1"/>
        </w:rPr>
        <w:t>Flyer zum Selbstausdrucken inklusive Faltanleitung</w:t>
      </w:r>
    </w:p>
    <w:p w14:paraId="37810550" w14:textId="168A8216" w:rsidR="116A23DD" w:rsidRPr="00AB119F" w:rsidRDefault="116A23DD" w:rsidP="00F451B6">
      <w:pPr>
        <w:pStyle w:val="Listenabsatz"/>
        <w:numPr>
          <w:ilvl w:val="0"/>
          <w:numId w:val="9"/>
        </w:numPr>
        <w:spacing w:before="167" w:after="167"/>
        <w:rPr>
          <w:rFonts w:ascii="TT Norms Pro" w:eastAsia="Aptos" w:hAnsi="TT Norms Pro" w:cs="Aptos"/>
          <w:color w:val="000000" w:themeColor="text1"/>
        </w:rPr>
      </w:pPr>
      <w:r w:rsidRPr="00AB119F">
        <w:rPr>
          <w:rFonts w:ascii="TT Norms Pro" w:eastAsia="Aptos" w:hAnsi="TT Norms Pro" w:cs="Aptos"/>
          <w:color w:val="000000" w:themeColor="text1"/>
        </w:rPr>
        <w:t>Textbausteine für eigene Beiträge</w:t>
      </w:r>
    </w:p>
    <w:p w14:paraId="5AD2A1A0" w14:textId="399F83A2" w:rsidR="1578233B" w:rsidRDefault="116A23DD" w:rsidP="1578233B">
      <w:pPr>
        <w:spacing w:before="167" w:after="167"/>
        <w:rPr>
          <w:rFonts w:ascii="TT Norms Pro" w:eastAsia="Aptos" w:hAnsi="TT Norms Pro" w:cs="Aptos"/>
          <w:b/>
          <w:bCs/>
          <w:color w:val="E66022"/>
        </w:rPr>
      </w:pPr>
      <w:r w:rsidRPr="00AB119F">
        <w:rPr>
          <w:rFonts w:ascii="TT Norms Pro" w:eastAsia="Aptos" w:hAnsi="TT Norms Pro" w:cs="Aptos"/>
          <w:color w:val="E66022"/>
        </w:rPr>
        <w:t>Die Materialien dürfen gerne geteilt, weiterverbreitet und für eigene Beiträge genutzt werden.</w:t>
      </w:r>
      <w:r w:rsidR="2C2A2A05">
        <w:br/>
      </w:r>
    </w:p>
    <w:p w14:paraId="64094765" w14:textId="6870DE67" w:rsidR="009F299D" w:rsidRPr="00AB119F" w:rsidRDefault="00D27CA1" w:rsidP="009F299D">
      <w:pPr>
        <w:pStyle w:val="berschrift2"/>
        <w:spacing w:before="207" w:after="207"/>
        <w:rPr>
          <w:rFonts w:ascii="TT Norms Pro" w:hAnsi="TT Norms Pro"/>
        </w:rPr>
      </w:pPr>
      <w:r w:rsidRPr="00AB119F">
        <w:rPr>
          <w:rFonts w:ascii="TT Norms Pro" w:eastAsia="Aptos" w:hAnsi="TT Norms Pro" w:cs="Aptos"/>
          <w:b/>
          <w:bCs/>
          <w:color w:val="000000" w:themeColor="text1"/>
          <w:sz w:val="24"/>
          <w:szCs w:val="24"/>
        </w:rPr>
        <w:t>3</w:t>
      </w:r>
      <w:r w:rsidR="009F299D" w:rsidRPr="00AB119F">
        <w:rPr>
          <w:rFonts w:ascii="TT Norms Pro" w:eastAsia="Aptos" w:hAnsi="TT Norms Pro" w:cs="Aptos"/>
          <w:b/>
          <w:bCs/>
          <w:color w:val="000000" w:themeColor="text1"/>
          <w:sz w:val="24"/>
          <w:szCs w:val="24"/>
        </w:rPr>
        <w:t xml:space="preserve">.1 </w:t>
      </w:r>
      <w:r w:rsidR="00AF4371" w:rsidRPr="00AB119F">
        <w:rPr>
          <w:rFonts w:ascii="TT Norms Pro" w:eastAsia="Aptos" w:hAnsi="TT Norms Pro" w:cs="Aptos"/>
          <w:b/>
          <w:bCs/>
          <w:color w:val="000000" w:themeColor="text1"/>
          <w:sz w:val="24"/>
          <w:szCs w:val="24"/>
        </w:rPr>
        <w:t>Text</w:t>
      </w:r>
      <w:r w:rsidR="0064128A" w:rsidRPr="00AB119F">
        <w:rPr>
          <w:rFonts w:ascii="TT Norms Pro" w:eastAsia="Aptos" w:hAnsi="TT Norms Pro" w:cs="Aptos"/>
          <w:b/>
          <w:bCs/>
          <w:color w:val="000000" w:themeColor="text1"/>
          <w:sz w:val="24"/>
          <w:szCs w:val="24"/>
        </w:rPr>
        <w:t>b</w:t>
      </w:r>
      <w:r w:rsidR="00AF4371" w:rsidRPr="00AB119F">
        <w:rPr>
          <w:rFonts w:ascii="TT Norms Pro" w:eastAsia="Aptos" w:hAnsi="TT Norms Pro" w:cs="Aptos"/>
          <w:b/>
          <w:bCs/>
          <w:color w:val="000000" w:themeColor="text1"/>
          <w:sz w:val="24"/>
          <w:szCs w:val="24"/>
        </w:rPr>
        <w:t>austeine für Deine Beiträge</w:t>
      </w:r>
    </w:p>
    <w:p w14:paraId="47D462BE" w14:textId="398934D4" w:rsidR="002E0C78" w:rsidRPr="00AB119F" w:rsidRDefault="00EC6DD3" w:rsidP="034EB8E7">
      <w:pPr>
        <w:spacing w:line="360" w:lineRule="auto"/>
        <w:rPr>
          <w:rFonts w:ascii="TT Norms Pro" w:eastAsiaTheme="minorEastAsia" w:hAnsi="TT Norms Pro"/>
          <w:color w:val="000000" w:themeColor="text1"/>
        </w:rPr>
      </w:pPr>
      <w:r>
        <w:rPr>
          <w:rFonts w:ascii="TT Norms Pro" w:eastAsiaTheme="minorEastAsia" w:hAnsi="TT Norms Pro"/>
          <w:color w:val="000000" w:themeColor="text1"/>
        </w:rPr>
        <w:t xml:space="preserve">Ärztinnen, Lehrer, Nachbarn, Kolleginnen. </w:t>
      </w:r>
    </w:p>
    <w:p w14:paraId="39DD000B" w14:textId="0DA4922B"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 xml:space="preserve">Menschen, die unseren </w:t>
      </w:r>
      <w:r w:rsidR="00EC6DD3">
        <w:rPr>
          <w:rFonts w:ascii="TT Norms Pro" w:eastAsiaTheme="minorEastAsia" w:hAnsi="TT Norms Pro"/>
          <w:color w:val="000000" w:themeColor="text1"/>
        </w:rPr>
        <w:t xml:space="preserve">gemeinsamen </w:t>
      </w:r>
      <w:r w:rsidRPr="00AB119F">
        <w:rPr>
          <w:rFonts w:ascii="TT Norms Pro" w:eastAsiaTheme="minorEastAsia" w:hAnsi="TT Norms Pro"/>
          <w:color w:val="000000" w:themeColor="text1"/>
        </w:rPr>
        <w:t>Alltag prägen.</w:t>
      </w:r>
      <w:r>
        <w:br/>
      </w:r>
      <w:r w:rsidRPr="00AB119F">
        <w:rPr>
          <w:rFonts w:ascii="TT Norms Pro" w:eastAsiaTheme="minorEastAsia" w:hAnsi="TT Norms Pro"/>
          <w:color w:val="000000" w:themeColor="text1"/>
        </w:rPr>
        <w:t>Menschen mit unterschiedlichen Geschichten, Erfahrungen und Perspektiven.</w:t>
      </w:r>
    </w:p>
    <w:p w14:paraId="6E578AD9"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Und doch sehen wir oft zuerst Zuschreibungen statt Menschen.</w:t>
      </w:r>
    </w:p>
    <w:p w14:paraId="2F769368"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Antimuslimischer Rassismus entsteht nicht aus persönlichen Erfahrungen, sondern häufig aus Bildern, Vorurteilen und Vorstellungen, die sich über Jahre festsetzen. Er reduziert Menschen auf eine vermeintliche Zugehörigkeit und verstellt den Blick auf ihre Individualität. Was bleibt, sind vereinfachte Bilder. Was verloren geht, sind die Menschen dahinter.</w:t>
      </w:r>
    </w:p>
    <w:p w14:paraId="7301B7E6"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Die Aktionswochen gegen antimuslimischen Rassismus laden dazu ein, genauer hinzusehen.</w:t>
      </w:r>
    </w:p>
    <w:p w14:paraId="23F8D876"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 xml:space="preserve">Die Menschen auf dieser Seite stehen für unterschiedliche Lebenswege, Berufe, Interessen und Perspektiven. Sie unterrichten Kinder, versorgen Patient*innen, schreiben Bücher, gestalten Politik, treiben Sport, engagieren sich ehrenamtlich oder begleiten andere Menschen durch schwierige Lebensphasen. Manche sind bekannt, andere nicht. Manche stehen in der Öffentlichkeit, andere wirken im </w:t>
      </w:r>
      <w:r w:rsidRPr="00AB119F">
        <w:rPr>
          <w:rFonts w:ascii="TT Norms Pro" w:eastAsiaTheme="minorEastAsia" w:hAnsi="TT Norms Pro"/>
          <w:color w:val="000000" w:themeColor="text1"/>
        </w:rPr>
        <w:lastRenderedPageBreak/>
        <w:t xml:space="preserve">Hintergrund. Was sie verbindet, ist nicht eine gemeinsame Geschichte, sondern die Erfahrung, auf etwas reduziert zu werden, </w:t>
      </w:r>
      <w:proofErr w:type="gramStart"/>
      <w:r w:rsidRPr="00AB119F">
        <w:rPr>
          <w:rFonts w:ascii="TT Norms Pro" w:eastAsiaTheme="minorEastAsia" w:hAnsi="TT Norms Pro"/>
          <w:color w:val="000000" w:themeColor="text1"/>
        </w:rPr>
        <w:t>das</w:t>
      </w:r>
      <w:proofErr w:type="gramEnd"/>
      <w:r w:rsidRPr="00AB119F">
        <w:rPr>
          <w:rFonts w:ascii="TT Norms Pro" w:eastAsiaTheme="minorEastAsia" w:hAnsi="TT Norms Pro"/>
          <w:color w:val="000000" w:themeColor="text1"/>
        </w:rPr>
        <w:t xml:space="preserve"> ihrer Vielfalt nicht gerecht wird.</w:t>
      </w:r>
    </w:p>
    <w:p w14:paraId="1C94DB8B"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Antimuslimischer Rassismus betrifft Menschen mitten in unserer Gesellschaft. Er begegnet ihnen in der Schule, am Arbeitsplatz, in Behörden, im Netz oder auf der Straße. Oft beginnt er dort, wo Menschen nicht als Individuen wahrgenommen werden, sondern als Projektionsfläche für Ängste, Vorurteile oder gesellschaftliche Debatten.</w:t>
      </w:r>
    </w:p>
    <w:p w14:paraId="15B73193" w14:textId="40E89B2C"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Die Portraits dieser Kampagne erzählen deshalb keine Heldengeschichten. Sie zeigen Menschen in ihrer Unterschiedlichkeit. Menschen mit eigenen Interessen, Überzeugungen, Talenten und Lebensrealitäten. Menschen, die Teil unseres gesellschaftlichen Miteinanders sind – nicht</w:t>
      </w:r>
      <w:r w:rsidR="00B40AA6">
        <w:rPr>
          <w:rFonts w:ascii="TT Norms Pro" w:eastAsiaTheme="minorEastAsia" w:hAnsi="TT Norms Pro"/>
          <w:color w:val="000000" w:themeColor="text1"/>
        </w:rPr>
        <w:t>,</w:t>
      </w:r>
      <w:r w:rsidRPr="00AB119F">
        <w:rPr>
          <w:rFonts w:ascii="TT Norms Pro" w:eastAsiaTheme="minorEastAsia" w:hAnsi="TT Norms Pro"/>
          <w:color w:val="000000" w:themeColor="text1"/>
        </w:rPr>
        <w:t xml:space="preserve"> weil sie etwas Besonderes leisten, sondern weil sie selbstverständlich dazugehören.</w:t>
      </w:r>
    </w:p>
    <w:p w14:paraId="2FF59238"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Ein Perspektivwechsel beginnt oft mit einem zweiten Blick.</w:t>
      </w:r>
    </w:p>
    <w:p w14:paraId="7AF7428F"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Mit der Bereitschaft, eigene Annahmen zu hinterfragen.</w:t>
      </w:r>
      <w:r>
        <w:br/>
      </w:r>
      <w:r w:rsidRPr="00AB119F">
        <w:rPr>
          <w:rFonts w:ascii="TT Norms Pro" w:eastAsiaTheme="minorEastAsia" w:hAnsi="TT Norms Pro"/>
          <w:color w:val="000000" w:themeColor="text1"/>
        </w:rPr>
        <w:t>Mit der Neugier auf die Geschichte eines anderen Menschen.</w:t>
      </w:r>
      <w:r>
        <w:br/>
      </w:r>
      <w:r w:rsidRPr="00AB119F">
        <w:rPr>
          <w:rFonts w:ascii="TT Norms Pro" w:eastAsiaTheme="minorEastAsia" w:hAnsi="TT Norms Pro"/>
          <w:color w:val="000000" w:themeColor="text1"/>
        </w:rPr>
        <w:t>Und mit der Erkenntnis, dass unsere Gesellschaft von den vielen Perspektiven lebt, die sie ausmachen.</w:t>
      </w:r>
    </w:p>
    <w:p w14:paraId="7AC16E71"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Erweitere deine Perspektive.</w:t>
      </w:r>
    </w:p>
    <w:p w14:paraId="69B6E70D" w14:textId="77777777" w:rsidR="002E0C78" w:rsidRPr="00AB119F" w:rsidRDefault="002E0C78" w:rsidP="034EB8E7">
      <w:pPr>
        <w:spacing w:line="360" w:lineRule="auto"/>
        <w:rPr>
          <w:rFonts w:ascii="TT Norms Pro" w:eastAsiaTheme="minorEastAsia" w:hAnsi="TT Norms Pro"/>
          <w:color w:val="000000" w:themeColor="text1"/>
        </w:rPr>
      </w:pPr>
      <w:r w:rsidRPr="00AB119F">
        <w:rPr>
          <w:rFonts w:ascii="TT Norms Pro" w:eastAsiaTheme="minorEastAsia" w:hAnsi="TT Norms Pro"/>
          <w:color w:val="000000" w:themeColor="text1"/>
        </w:rPr>
        <w:t>Setz ein Zeichen gegen antimuslimischen Rassismus.</w:t>
      </w:r>
    </w:p>
    <w:p w14:paraId="59BA317E" w14:textId="2C3F7D46" w:rsidR="7900E623" w:rsidRPr="00AB119F" w:rsidRDefault="009F299D">
      <w:pPr>
        <w:rPr>
          <w:rFonts w:ascii="TT Norms Pro" w:hAnsi="TT Norms Pro"/>
        </w:rPr>
      </w:pPr>
      <w:r w:rsidRPr="00AB119F">
        <w:rPr>
          <w:rFonts w:ascii="TT Norms Pro" w:eastAsia="Aptos" w:hAnsi="TT Norms Pro" w:cs="Aptos"/>
          <w:color w:val="E66022"/>
        </w:rPr>
        <w:t>Die Textbausteine dienen als Inspiration. Du kannst sie übernehmen, kürzen oder in Deinen eigenen Worten anpassen.</w:t>
      </w:r>
    </w:p>
    <w:p w14:paraId="5A143D1C" w14:textId="52599C0E" w:rsidR="00906F62" w:rsidRPr="00AB119F" w:rsidRDefault="00906F62">
      <w:pPr>
        <w:rPr>
          <w:rFonts w:ascii="TT Norms Pro" w:eastAsia="Aptos" w:hAnsi="TT Norms Pro" w:cs="Aptos"/>
          <w:color w:val="E66022"/>
        </w:rPr>
      </w:pPr>
    </w:p>
    <w:p w14:paraId="335AD0D6" w14:textId="5B231041" w:rsidR="116A23DD" w:rsidRPr="00AB119F" w:rsidRDefault="116A23DD" w:rsidP="7900E623">
      <w:pPr>
        <w:pStyle w:val="berschrift1"/>
        <w:spacing w:before="223" w:after="223"/>
        <w:rPr>
          <w:rFonts w:ascii="TT Norms Pro" w:hAnsi="TT Norms Pro"/>
        </w:rPr>
      </w:pPr>
      <w:r w:rsidRPr="00AB119F">
        <w:rPr>
          <w:rFonts w:ascii="TT Norms Pro" w:eastAsia="Aptos" w:hAnsi="TT Norms Pro" w:cs="Aptos"/>
          <w:b/>
          <w:bCs/>
          <w:color w:val="000000" w:themeColor="text1"/>
          <w:sz w:val="33"/>
          <w:szCs w:val="33"/>
        </w:rPr>
        <w:t>4. Zahlen &amp; Fakten zu antimuslimischem Rassismus</w:t>
      </w:r>
    </w:p>
    <w:p w14:paraId="6B829C56" w14:textId="184B3137" w:rsidR="7900E623" w:rsidRPr="00AB119F" w:rsidRDefault="07D712E9" w:rsidP="7900E623">
      <w:pPr>
        <w:rPr>
          <w:rFonts w:ascii="TT Norms Pro" w:hAnsi="TT Norms Pro"/>
        </w:rPr>
      </w:pPr>
      <w:r w:rsidRPr="00AB119F">
        <w:rPr>
          <w:rFonts w:ascii="TT Norms Pro" w:eastAsia="Aptos" w:hAnsi="TT Norms Pro" w:cs="Aptos"/>
          <w:color w:val="000000" w:themeColor="text1"/>
        </w:rPr>
        <w:t>Wer über antimuslimischen Rassismus sprechen möchte, braucht verlässliche Informationen.</w:t>
      </w:r>
    </w:p>
    <w:p w14:paraId="2563BB66" w14:textId="24AEB948" w:rsidR="6AAB7A0B" w:rsidRPr="00AB119F" w:rsidRDefault="6AAB7A0B" w:rsidP="27F20D0D">
      <w:pPr>
        <w:pStyle w:val="berschrift2"/>
        <w:spacing w:before="207" w:after="207" w:line="360" w:lineRule="auto"/>
        <w:rPr>
          <w:rFonts w:ascii="TT Norms Pro" w:hAnsi="TT Norms Pro"/>
        </w:rPr>
      </w:pPr>
      <w:r w:rsidRPr="00AB119F">
        <w:rPr>
          <w:rFonts w:ascii="TT Norms Pro" w:eastAsia="Aptos" w:hAnsi="TT Norms Pro" w:cs="Aptos"/>
          <w:b/>
          <w:bCs/>
          <w:color w:val="000000" w:themeColor="text1"/>
          <w:sz w:val="24"/>
          <w:szCs w:val="24"/>
        </w:rPr>
        <w:lastRenderedPageBreak/>
        <w:t>4.1 Warum Perspektivwechsel?</w:t>
      </w:r>
    </w:p>
    <w:p w14:paraId="4FCE34F1" w14:textId="232957B6" w:rsidR="4B707E08" w:rsidRPr="00AB119F" w:rsidRDefault="00B40AA6" w:rsidP="27F20D0D">
      <w:pPr>
        <w:spacing w:before="167" w:after="167" w:line="360" w:lineRule="auto"/>
        <w:rPr>
          <w:rFonts w:ascii="TT Norms Pro" w:eastAsia="Aptos" w:hAnsi="TT Norms Pro" w:cs="Aptos"/>
          <w:color w:val="000000" w:themeColor="text1"/>
        </w:rPr>
      </w:pPr>
      <w:r>
        <w:rPr>
          <w:rFonts w:ascii="TT Norms Pro" w:eastAsiaTheme="minorEastAsia" w:hAnsi="TT Norms Pro"/>
          <w:color w:val="000000" w:themeColor="text1"/>
        </w:rPr>
        <w:t>„</w:t>
      </w:r>
      <w:r w:rsidR="4B707E08" w:rsidRPr="00AB119F">
        <w:rPr>
          <w:rFonts w:ascii="TT Norms Pro" w:eastAsiaTheme="minorEastAsia" w:hAnsi="TT Norms Pro"/>
          <w:color w:val="000000" w:themeColor="text1"/>
        </w:rPr>
        <w:t>Antimuslimischer Rassismus bezeichnet die Diskriminierung von Menschen, die aufgrund ihrer tatsächlichen oder auch bloß zugeschriebenen</w:t>
      </w:r>
      <w:r>
        <w:rPr>
          <w:rFonts w:ascii="TT Norms Pro" w:eastAsiaTheme="minorEastAsia" w:hAnsi="TT Norms Pro"/>
          <w:color w:val="000000" w:themeColor="text1"/>
        </w:rPr>
        <w:t xml:space="preserve"> </w:t>
      </w:r>
      <w:r w:rsidR="4B707E08" w:rsidRPr="00AB119F">
        <w:rPr>
          <w:rFonts w:ascii="TT Norms Pro" w:eastAsiaTheme="minorEastAsia" w:hAnsi="TT Norms Pro"/>
          <w:color w:val="000000" w:themeColor="text1"/>
        </w:rPr>
        <w:t xml:space="preserve">Religionszugehörigkeit als </w:t>
      </w:r>
      <w:hyperlink r:id="rId9">
        <w:r w:rsidR="4B707E08" w:rsidRPr="00AB119F">
          <w:rPr>
            <w:rFonts w:ascii="TT Norms Pro" w:eastAsiaTheme="minorEastAsia" w:hAnsi="TT Norms Pro"/>
            <w:color w:val="000000" w:themeColor="text1"/>
          </w:rPr>
          <w:t>Muslim*innen</w:t>
        </w:r>
      </w:hyperlink>
      <w:r w:rsidR="4B707E08" w:rsidRPr="00AB119F">
        <w:rPr>
          <w:rFonts w:ascii="TT Norms Pro" w:eastAsiaTheme="minorEastAsia" w:hAnsi="TT Norms Pro"/>
          <w:color w:val="000000" w:themeColor="text1"/>
        </w:rPr>
        <w:t xml:space="preserve"> wahrgenommen werden. Im Vergleich zu den Begriffen </w:t>
      </w:r>
      <w:hyperlink r:id="rId10">
        <w:r w:rsidR="4B707E08" w:rsidRPr="00AB119F">
          <w:rPr>
            <w:rFonts w:ascii="TT Norms Pro" w:eastAsiaTheme="minorEastAsia" w:hAnsi="TT Norms Pro"/>
            <w:color w:val="000000" w:themeColor="text1"/>
          </w:rPr>
          <w:t>Islamophobie</w:t>
        </w:r>
      </w:hyperlink>
      <w:r w:rsidR="4B707E08" w:rsidRPr="00AB119F">
        <w:rPr>
          <w:rFonts w:ascii="TT Norms Pro" w:eastAsiaTheme="minorEastAsia" w:hAnsi="TT Norms Pro"/>
          <w:color w:val="000000" w:themeColor="text1"/>
        </w:rPr>
        <w:t xml:space="preserve"> oder </w:t>
      </w:r>
      <w:hyperlink r:id="rId11">
        <w:r w:rsidR="4B707E08" w:rsidRPr="00AB119F">
          <w:rPr>
            <w:rFonts w:ascii="TT Norms Pro" w:eastAsiaTheme="minorEastAsia" w:hAnsi="TT Norms Pro"/>
            <w:color w:val="000000" w:themeColor="text1"/>
          </w:rPr>
          <w:t>Islamfeindlichkeit</w:t>
        </w:r>
      </w:hyperlink>
      <w:r w:rsidR="4B707E08" w:rsidRPr="00AB119F">
        <w:rPr>
          <w:rFonts w:ascii="TT Norms Pro" w:eastAsiaTheme="minorEastAsia" w:hAnsi="TT Norms Pro"/>
          <w:color w:val="000000" w:themeColor="text1"/>
        </w:rPr>
        <w:t xml:space="preserve"> verweist die Bezeichnung antimuslimischer Rassismus auf das tatsächliche Problem: eine rassistische Vorstellung von </w:t>
      </w:r>
      <w:hyperlink r:id="rId12">
        <w:r w:rsidR="4B707E08" w:rsidRPr="00AB119F">
          <w:rPr>
            <w:rFonts w:ascii="TT Norms Pro" w:eastAsiaTheme="minorEastAsia" w:hAnsi="TT Norms Pro"/>
            <w:color w:val="000000" w:themeColor="text1"/>
          </w:rPr>
          <w:t>Muslim*innen</w:t>
        </w:r>
      </w:hyperlink>
      <w:r w:rsidR="4B707E08" w:rsidRPr="00AB119F">
        <w:rPr>
          <w:rFonts w:ascii="TT Norms Pro" w:eastAsiaTheme="minorEastAsia" w:hAnsi="TT Norms Pro"/>
          <w:color w:val="000000" w:themeColor="text1"/>
        </w:rPr>
        <w:t xml:space="preserve"> als homogene Gruppe, der bestimmte (zumeist negative) Eigenschaften zugewiesen werden und die als fremd eingeordnet wird.”</w:t>
      </w:r>
    </w:p>
    <w:p w14:paraId="4ACE25FD" w14:textId="2761289D" w:rsidR="7900E623" w:rsidRPr="00AB119F" w:rsidRDefault="3798AEAC" w:rsidP="2F0E559F">
      <w:pPr>
        <w:spacing w:before="207" w:after="207" w:line="360" w:lineRule="auto"/>
        <w:rPr>
          <w:rFonts w:ascii="TT Norms Pro" w:eastAsia="Aptos" w:hAnsi="TT Norms Pro" w:cs="Aptos"/>
          <w:color w:val="000000" w:themeColor="text1"/>
        </w:rPr>
      </w:pPr>
      <w:r w:rsidRPr="6875364E">
        <w:rPr>
          <w:rFonts w:ascii="TT Norms Pro" w:hAnsi="TT Norms Pro"/>
          <w:b/>
          <w:bCs/>
          <w:color w:val="E66022"/>
        </w:rPr>
        <w:t xml:space="preserve">Quelle: </w:t>
      </w:r>
      <w:r>
        <w:br/>
      </w:r>
      <w:r w:rsidR="32419384" w:rsidRPr="00AB119F">
        <w:rPr>
          <w:rFonts w:ascii="TT Norms Pro" w:eastAsia="Aptos" w:hAnsi="TT Norms Pro" w:cs="Aptos"/>
          <w:color w:val="000000" w:themeColor="text1"/>
        </w:rPr>
        <w:t xml:space="preserve">Neue deutsche Medienmacher*innen, Glossar-Eintrag „Antimuslimischer Rassismus“: </w:t>
      </w:r>
      <w:hyperlink r:id="rId13">
        <w:r w:rsidR="32419384" w:rsidRPr="00EC6DD3">
          <w:rPr>
            <w:rStyle w:val="Hyperlink"/>
            <w:rFonts w:ascii="TT Norms Pro" w:hAnsi="TT Norms Pro"/>
            <w:color w:val="F4500D"/>
          </w:rPr>
          <w:t>https://www.neuemedienmacher.de/glossar/antimuslimischer-rassismus</w:t>
        </w:r>
      </w:hyperlink>
      <w:r w:rsidR="7900E623">
        <w:br/>
      </w:r>
      <w:r w:rsidR="7900E623">
        <w:br/>
      </w:r>
      <w:r w:rsidR="362A55D2" w:rsidRPr="00AB119F">
        <w:rPr>
          <w:rFonts w:ascii="TT Norms Pro" w:eastAsia="Aptos" w:hAnsi="TT Norms Pro" w:cs="Aptos"/>
          <w:b/>
          <w:bCs/>
          <w:color w:val="000000" w:themeColor="text1"/>
        </w:rPr>
        <w:t xml:space="preserve">4.2 Quellen &amp; weiterführende Informationen </w:t>
      </w:r>
    </w:p>
    <w:p w14:paraId="7DDDCC9C" w14:textId="2F692539" w:rsidR="362A55D2" w:rsidRPr="00AB119F" w:rsidRDefault="362A55D2" w:rsidP="3CAED3D8">
      <w:pPr>
        <w:spacing w:before="167" w:after="167" w:line="360" w:lineRule="auto"/>
        <w:rPr>
          <w:rFonts w:ascii="TT Norms Pro" w:hAnsi="TT Norms Pro"/>
        </w:rPr>
      </w:pPr>
      <w:r w:rsidRPr="00AB119F">
        <w:rPr>
          <w:rFonts w:ascii="TT Norms Pro" w:eastAsia="Aptos" w:hAnsi="TT Norms Pro" w:cs="Aptos"/>
          <w:color w:val="000000" w:themeColor="text1"/>
        </w:rPr>
        <w:t xml:space="preserve">Auf der </w:t>
      </w:r>
      <w:hyperlink r:id="rId14">
        <w:r w:rsidR="00444C8C" w:rsidRPr="3CAED3D8">
          <w:rPr>
            <w:rStyle w:val="Hyperlink"/>
            <w:rFonts w:ascii="TT Norms Pro" w:eastAsia="Aptos" w:hAnsi="TT Norms Pro" w:cs="Aptos"/>
            <w:color w:val="F4500D"/>
          </w:rPr>
          <w:t>CLAIM-Website</w:t>
        </w:r>
      </w:hyperlink>
      <w:r w:rsidRPr="00AB119F">
        <w:rPr>
          <w:rFonts w:ascii="TT Norms Pro" w:eastAsia="Aptos" w:hAnsi="TT Norms Pro" w:cs="Aptos"/>
          <w:color w:val="000000" w:themeColor="text1"/>
        </w:rPr>
        <w:t xml:space="preserve"> findet Ihr aktuelle Studien, Publikationen und Hintergrundinformationen, die dabei helfen, Ausmaß, Ursachen und Auswirkungen antimuslimischen Rassismus besser zu verstehen.</w:t>
      </w:r>
    </w:p>
    <w:p w14:paraId="4A35ADF1" w14:textId="2BB3ACED" w:rsidR="362A55D2" w:rsidRPr="00AB119F" w:rsidRDefault="362A55D2" w:rsidP="3CAED3D8">
      <w:pPr>
        <w:spacing w:before="167" w:after="167" w:line="360" w:lineRule="auto"/>
        <w:rPr>
          <w:rFonts w:ascii="TT Norms Pro" w:hAnsi="TT Norms Pro"/>
        </w:rPr>
      </w:pPr>
      <w:r w:rsidRPr="00AB119F">
        <w:rPr>
          <w:rFonts w:ascii="TT Norms Pro" w:eastAsia="Aptos" w:hAnsi="TT Norms Pro" w:cs="Aptos"/>
          <w:color w:val="000000" w:themeColor="text1"/>
        </w:rPr>
        <w:t>Die Materialien eignen sich als Grundlage für eigene Beiträge, Veranstaltungen, Bildungsarbeit oder weiterführende Recherchen.</w:t>
      </w:r>
    </w:p>
    <w:p w14:paraId="5C95DA94" w14:textId="7330E0A6" w:rsidR="578833F9" w:rsidRPr="00A44FDB" w:rsidRDefault="362A55D2" w:rsidP="578833F9">
      <w:pPr>
        <w:spacing w:before="167" w:after="167" w:line="360" w:lineRule="auto"/>
        <w:rPr>
          <w:rFonts w:ascii="TT Norms Pro" w:hAnsi="TT Norms Pro"/>
        </w:rPr>
      </w:pPr>
      <w:r w:rsidRPr="00AB119F">
        <w:rPr>
          <w:rFonts w:ascii="TT Norms Pro" w:eastAsia="Aptos" w:hAnsi="TT Norms Pro" w:cs="Aptos"/>
          <w:b/>
          <w:bCs/>
          <w:color w:val="000000" w:themeColor="text1"/>
        </w:rPr>
        <w:t>Weitere Informationen und Publikationen:</w:t>
      </w:r>
      <w:r w:rsidRPr="00AB119F">
        <w:rPr>
          <w:rFonts w:ascii="TT Norms Pro" w:eastAsia="Aptos" w:hAnsi="TT Norms Pro" w:cs="Aptos"/>
          <w:b/>
          <w:bCs/>
          <w:color w:val="E66022"/>
        </w:rPr>
        <w:t xml:space="preserve"> </w:t>
      </w:r>
      <w:r w:rsidR="00EC6DD3">
        <w:rPr>
          <w:rFonts w:ascii="TT Norms Pro" w:eastAsia="Aptos" w:hAnsi="TT Norms Pro" w:cs="Aptos"/>
          <w:b/>
          <w:bCs/>
          <w:color w:val="E66022"/>
        </w:rPr>
        <w:br/>
      </w:r>
      <w:hyperlink r:id="rId15" w:history="1">
        <w:r w:rsidR="00EC6DD3" w:rsidRPr="00EC6DD3">
          <w:rPr>
            <w:rStyle w:val="Hyperlink"/>
            <w:rFonts w:ascii="TT Norms Pro" w:hAnsi="TT Norms Pro"/>
            <w:color w:val="F4500D"/>
          </w:rPr>
          <w:t>www.claim-organisation.de/aktuelles/publikationen/</w:t>
        </w:r>
      </w:hyperlink>
    </w:p>
    <w:p w14:paraId="024A1996" w14:textId="04BB73F4" w:rsidR="7900E623" w:rsidRPr="00EC6DD3" w:rsidRDefault="156F65AA" w:rsidP="006C5BCE">
      <w:pPr>
        <w:spacing w:before="167" w:after="167" w:line="360" w:lineRule="auto"/>
        <w:rPr>
          <w:rFonts w:ascii="TT Norms Pro" w:hAnsi="TT Norms Pro"/>
          <w:b/>
          <w:bCs/>
          <w:color w:val="000000" w:themeColor="text1"/>
        </w:rPr>
      </w:pPr>
      <w:r w:rsidRPr="00EC6DD3">
        <w:rPr>
          <w:rFonts w:ascii="TT Norms Pro" w:hAnsi="TT Norms Pro"/>
          <w:b/>
          <w:bCs/>
          <w:color w:val="E66022"/>
        </w:rPr>
        <w:t>*****</w:t>
      </w:r>
    </w:p>
    <w:p w14:paraId="3D1F2B5B" w14:textId="2E6A69F7" w:rsidR="7900E623" w:rsidRPr="00AB119F" w:rsidRDefault="65592A0C" w:rsidP="66DA144E">
      <w:pPr>
        <w:spacing w:before="167" w:after="167"/>
        <w:rPr>
          <w:rFonts w:ascii="TT Norms Pro" w:eastAsia="Aptos" w:hAnsi="TT Norms Pro" w:cs="Aptos"/>
          <w:b/>
          <w:bCs/>
          <w:color w:val="E66022"/>
        </w:rPr>
      </w:pPr>
      <w:r w:rsidRPr="00AB119F">
        <w:rPr>
          <w:rFonts w:ascii="TT Norms Pro" w:eastAsia="Aptos" w:hAnsi="TT Norms Pro" w:cs="Aptos"/>
          <w:b/>
          <w:bCs/>
          <w:color w:val="E66022"/>
        </w:rPr>
        <w:t>Ihr habt Fragen oder benötigt Unterstützung?</w:t>
      </w:r>
    </w:p>
    <w:p w14:paraId="5AA70CCD" w14:textId="18B28FDA" w:rsidR="0D9EB01C" w:rsidRPr="00A44FDB" w:rsidRDefault="65592A0C" w:rsidP="00A44FDB">
      <w:pPr>
        <w:spacing w:before="167" w:after="167"/>
        <w:rPr>
          <w:rFonts w:ascii="TT Norms Pro" w:hAnsi="TT Norms Pro"/>
        </w:rPr>
      </w:pPr>
      <w:r w:rsidRPr="00AB119F">
        <w:rPr>
          <w:rFonts w:ascii="TT Norms Pro" w:eastAsia="Aptos" w:hAnsi="TT Norms Pro" w:cs="Aptos"/>
          <w:color w:val="000000" w:themeColor="text1"/>
        </w:rPr>
        <w:t>Wenn Ihr Rückfragen zu den Materialien, den Aktionswochen oder eigenen Aktionen habt, meldet Euch gerne bei uns:</w:t>
      </w:r>
      <w:r w:rsidR="00B40AA6">
        <w:rPr>
          <w:rFonts w:ascii="TT Norms Pro" w:hAnsi="TT Norms Pro"/>
        </w:rPr>
        <w:br/>
      </w:r>
      <w:r w:rsidR="00AB119F" w:rsidRPr="00AB119F">
        <w:rPr>
          <w:rFonts w:ascii="TT Norms Pro" w:hAnsi="TT Norms Pro"/>
        </w:rPr>
        <w:br/>
      </w:r>
      <w:hyperlink r:id="rId16" w:history="1">
        <w:r w:rsidR="00B40AA6" w:rsidRPr="00B40AA6">
          <w:rPr>
            <w:rStyle w:val="Hyperlink"/>
            <w:rFonts w:ascii="TT Norms Pro" w:eastAsia="Aptos" w:hAnsi="TT Norms Pro" w:cs="Aptos"/>
            <w:color w:val="F4500D"/>
          </w:rPr>
          <w:t>info@claim-organisation.de</w:t>
        </w:r>
      </w:hyperlink>
    </w:p>
    <w:sectPr w:rsidR="0D9EB01C" w:rsidRPr="00A44FD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TT Norms Pro">
    <w:panose1 w:val="020B0604020202020204"/>
    <w:charset w:val="00"/>
    <w:family w:val="swiss"/>
    <w:pitch w:val="variable"/>
    <w:sig w:usb0="A00002FF" w:usb1="5000A4F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9337"/>
    <w:multiLevelType w:val="hybridMultilevel"/>
    <w:tmpl w:val="FFFFFFFF"/>
    <w:lvl w:ilvl="0" w:tplc="342CFE4A">
      <w:start w:val="1"/>
      <w:numFmt w:val="bullet"/>
      <w:lvlText w:val="-"/>
      <w:lvlJc w:val="left"/>
      <w:pPr>
        <w:ind w:left="720" w:hanging="360"/>
      </w:pPr>
      <w:rPr>
        <w:rFonts w:ascii="Aptos" w:hAnsi="Aptos" w:hint="default"/>
      </w:rPr>
    </w:lvl>
    <w:lvl w:ilvl="1" w:tplc="109A4486">
      <w:start w:val="1"/>
      <w:numFmt w:val="bullet"/>
      <w:lvlText w:val="o"/>
      <w:lvlJc w:val="left"/>
      <w:pPr>
        <w:ind w:left="1440" w:hanging="360"/>
      </w:pPr>
      <w:rPr>
        <w:rFonts w:ascii="Courier New" w:hAnsi="Courier New" w:hint="default"/>
      </w:rPr>
    </w:lvl>
    <w:lvl w:ilvl="2" w:tplc="2F067F24">
      <w:start w:val="1"/>
      <w:numFmt w:val="bullet"/>
      <w:lvlText w:val=""/>
      <w:lvlJc w:val="left"/>
      <w:pPr>
        <w:ind w:left="2160" w:hanging="360"/>
      </w:pPr>
      <w:rPr>
        <w:rFonts w:ascii="Wingdings" w:hAnsi="Wingdings" w:hint="default"/>
      </w:rPr>
    </w:lvl>
    <w:lvl w:ilvl="3" w:tplc="17F46C18">
      <w:start w:val="1"/>
      <w:numFmt w:val="bullet"/>
      <w:lvlText w:val=""/>
      <w:lvlJc w:val="left"/>
      <w:pPr>
        <w:ind w:left="2880" w:hanging="360"/>
      </w:pPr>
      <w:rPr>
        <w:rFonts w:ascii="Symbol" w:hAnsi="Symbol" w:hint="default"/>
      </w:rPr>
    </w:lvl>
    <w:lvl w:ilvl="4" w:tplc="3CEC8176">
      <w:start w:val="1"/>
      <w:numFmt w:val="bullet"/>
      <w:lvlText w:val="o"/>
      <w:lvlJc w:val="left"/>
      <w:pPr>
        <w:ind w:left="3600" w:hanging="360"/>
      </w:pPr>
      <w:rPr>
        <w:rFonts w:ascii="Courier New" w:hAnsi="Courier New" w:hint="default"/>
      </w:rPr>
    </w:lvl>
    <w:lvl w:ilvl="5" w:tplc="08D06362">
      <w:start w:val="1"/>
      <w:numFmt w:val="bullet"/>
      <w:lvlText w:val=""/>
      <w:lvlJc w:val="left"/>
      <w:pPr>
        <w:ind w:left="4320" w:hanging="360"/>
      </w:pPr>
      <w:rPr>
        <w:rFonts w:ascii="Wingdings" w:hAnsi="Wingdings" w:hint="default"/>
      </w:rPr>
    </w:lvl>
    <w:lvl w:ilvl="6" w:tplc="430479C4">
      <w:start w:val="1"/>
      <w:numFmt w:val="bullet"/>
      <w:lvlText w:val=""/>
      <w:lvlJc w:val="left"/>
      <w:pPr>
        <w:ind w:left="5040" w:hanging="360"/>
      </w:pPr>
      <w:rPr>
        <w:rFonts w:ascii="Symbol" w:hAnsi="Symbol" w:hint="default"/>
      </w:rPr>
    </w:lvl>
    <w:lvl w:ilvl="7" w:tplc="AF3AB056">
      <w:start w:val="1"/>
      <w:numFmt w:val="bullet"/>
      <w:lvlText w:val="o"/>
      <w:lvlJc w:val="left"/>
      <w:pPr>
        <w:ind w:left="5760" w:hanging="360"/>
      </w:pPr>
      <w:rPr>
        <w:rFonts w:ascii="Courier New" w:hAnsi="Courier New" w:hint="default"/>
      </w:rPr>
    </w:lvl>
    <w:lvl w:ilvl="8" w:tplc="79C4D7A6">
      <w:start w:val="1"/>
      <w:numFmt w:val="bullet"/>
      <w:lvlText w:val=""/>
      <w:lvlJc w:val="left"/>
      <w:pPr>
        <w:ind w:left="6480" w:hanging="360"/>
      </w:pPr>
      <w:rPr>
        <w:rFonts w:ascii="Wingdings" w:hAnsi="Wingdings" w:hint="default"/>
      </w:rPr>
    </w:lvl>
  </w:abstractNum>
  <w:abstractNum w:abstractNumId="1" w15:restartNumberingAfterBreak="0">
    <w:nsid w:val="071AF130"/>
    <w:multiLevelType w:val="hybridMultilevel"/>
    <w:tmpl w:val="FFFFFFFF"/>
    <w:lvl w:ilvl="0" w:tplc="5C303A28">
      <w:start w:val="1"/>
      <w:numFmt w:val="decimal"/>
      <w:lvlText w:val="%1."/>
      <w:lvlJc w:val="left"/>
      <w:pPr>
        <w:ind w:left="720" w:hanging="360"/>
      </w:pPr>
    </w:lvl>
    <w:lvl w:ilvl="1" w:tplc="75B2C22C">
      <w:start w:val="1"/>
      <w:numFmt w:val="lowerLetter"/>
      <w:lvlText w:val="%2."/>
      <w:lvlJc w:val="left"/>
      <w:pPr>
        <w:ind w:left="1440" w:hanging="360"/>
      </w:pPr>
    </w:lvl>
    <w:lvl w:ilvl="2" w:tplc="88C8C52C">
      <w:start w:val="1"/>
      <w:numFmt w:val="lowerRoman"/>
      <w:lvlText w:val="%3."/>
      <w:lvlJc w:val="right"/>
      <w:pPr>
        <w:ind w:left="2160" w:hanging="180"/>
      </w:pPr>
    </w:lvl>
    <w:lvl w:ilvl="3" w:tplc="B394ED32">
      <w:start w:val="1"/>
      <w:numFmt w:val="decimal"/>
      <w:lvlText w:val="%4."/>
      <w:lvlJc w:val="left"/>
      <w:pPr>
        <w:ind w:left="2880" w:hanging="360"/>
      </w:pPr>
    </w:lvl>
    <w:lvl w:ilvl="4" w:tplc="305C7F3C">
      <w:start w:val="1"/>
      <w:numFmt w:val="lowerLetter"/>
      <w:lvlText w:val="%5."/>
      <w:lvlJc w:val="left"/>
      <w:pPr>
        <w:ind w:left="3600" w:hanging="360"/>
      </w:pPr>
    </w:lvl>
    <w:lvl w:ilvl="5" w:tplc="8F4A828C">
      <w:start w:val="1"/>
      <w:numFmt w:val="lowerRoman"/>
      <w:lvlText w:val="%6."/>
      <w:lvlJc w:val="right"/>
      <w:pPr>
        <w:ind w:left="4320" w:hanging="180"/>
      </w:pPr>
    </w:lvl>
    <w:lvl w:ilvl="6" w:tplc="B8263E34">
      <w:start w:val="1"/>
      <w:numFmt w:val="decimal"/>
      <w:lvlText w:val="%7."/>
      <w:lvlJc w:val="left"/>
      <w:pPr>
        <w:ind w:left="5040" w:hanging="360"/>
      </w:pPr>
    </w:lvl>
    <w:lvl w:ilvl="7" w:tplc="C55ACB8E">
      <w:start w:val="1"/>
      <w:numFmt w:val="lowerLetter"/>
      <w:lvlText w:val="%8."/>
      <w:lvlJc w:val="left"/>
      <w:pPr>
        <w:ind w:left="5760" w:hanging="360"/>
      </w:pPr>
    </w:lvl>
    <w:lvl w:ilvl="8" w:tplc="9F96E800">
      <w:start w:val="1"/>
      <w:numFmt w:val="lowerRoman"/>
      <w:lvlText w:val="%9."/>
      <w:lvlJc w:val="right"/>
      <w:pPr>
        <w:ind w:left="6480" w:hanging="180"/>
      </w:pPr>
    </w:lvl>
  </w:abstractNum>
  <w:abstractNum w:abstractNumId="2" w15:restartNumberingAfterBreak="0">
    <w:nsid w:val="1A3752E5"/>
    <w:multiLevelType w:val="hybridMultilevel"/>
    <w:tmpl w:val="FFFFFFFF"/>
    <w:lvl w:ilvl="0" w:tplc="C3320D1A">
      <w:start w:val="1"/>
      <w:numFmt w:val="bullet"/>
      <w:lvlText w:val=""/>
      <w:lvlJc w:val="left"/>
      <w:pPr>
        <w:ind w:left="720" w:hanging="360"/>
      </w:pPr>
      <w:rPr>
        <w:rFonts w:ascii="Symbol" w:hAnsi="Symbol" w:hint="default"/>
      </w:rPr>
    </w:lvl>
    <w:lvl w:ilvl="1" w:tplc="1B6E9A28">
      <w:start w:val="1"/>
      <w:numFmt w:val="bullet"/>
      <w:lvlText w:val="o"/>
      <w:lvlJc w:val="left"/>
      <w:pPr>
        <w:ind w:left="1440" w:hanging="360"/>
      </w:pPr>
      <w:rPr>
        <w:rFonts w:ascii="Courier New" w:hAnsi="Courier New" w:hint="default"/>
      </w:rPr>
    </w:lvl>
    <w:lvl w:ilvl="2" w:tplc="674AE8CC">
      <w:start w:val="1"/>
      <w:numFmt w:val="bullet"/>
      <w:lvlText w:val=""/>
      <w:lvlJc w:val="left"/>
      <w:pPr>
        <w:ind w:left="2160" w:hanging="360"/>
      </w:pPr>
      <w:rPr>
        <w:rFonts w:ascii="Wingdings" w:hAnsi="Wingdings" w:hint="default"/>
      </w:rPr>
    </w:lvl>
    <w:lvl w:ilvl="3" w:tplc="90E63CE2">
      <w:start w:val="1"/>
      <w:numFmt w:val="bullet"/>
      <w:lvlText w:val=""/>
      <w:lvlJc w:val="left"/>
      <w:pPr>
        <w:ind w:left="2880" w:hanging="360"/>
      </w:pPr>
      <w:rPr>
        <w:rFonts w:ascii="Symbol" w:hAnsi="Symbol" w:hint="default"/>
      </w:rPr>
    </w:lvl>
    <w:lvl w:ilvl="4" w:tplc="211A38FC">
      <w:start w:val="1"/>
      <w:numFmt w:val="bullet"/>
      <w:lvlText w:val="o"/>
      <w:lvlJc w:val="left"/>
      <w:pPr>
        <w:ind w:left="3600" w:hanging="360"/>
      </w:pPr>
      <w:rPr>
        <w:rFonts w:ascii="Courier New" w:hAnsi="Courier New" w:hint="default"/>
      </w:rPr>
    </w:lvl>
    <w:lvl w:ilvl="5" w:tplc="717C29C8">
      <w:start w:val="1"/>
      <w:numFmt w:val="bullet"/>
      <w:lvlText w:val=""/>
      <w:lvlJc w:val="left"/>
      <w:pPr>
        <w:ind w:left="4320" w:hanging="360"/>
      </w:pPr>
      <w:rPr>
        <w:rFonts w:ascii="Wingdings" w:hAnsi="Wingdings" w:hint="default"/>
      </w:rPr>
    </w:lvl>
    <w:lvl w:ilvl="6" w:tplc="37DA32AA">
      <w:start w:val="1"/>
      <w:numFmt w:val="bullet"/>
      <w:lvlText w:val=""/>
      <w:lvlJc w:val="left"/>
      <w:pPr>
        <w:ind w:left="5040" w:hanging="360"/>
      </w:pPr>
      <w:rPr>
        <w:rFonts w:ascii="Symbol" w:hAnsi="Symbol" w:hint="default"/>
      </w:rPr>
    </w:lvl>
    <w:lvl w:ilvl="7" w:tplc="FC1C8AF2">
      <w:start w:val="1"/>
      <w:numFmt w:val="bullet"/>
      <w:lvlText w:val="o"/>
      <w:lvlJc w:val="left"/>
      <w:pPr>
        <w:ind w:left="5760" w:hanging="360"/>
      </w:pPr>
      <w:rPr>
        <w:rFonts w:ascii="Courier New" w:hAnsi="Courier New" w:hint="default"/>
      </w:rPr>
    </w:lvl>
    <w:lvl w:ilvl="8" w:tplc="EF3E9C22">
      <w:start w:val="1"/>
      <w:numFmt w:val="bullet"/>
      <w:lvlText w:val=""/>
      <w:lvlJc w:val="left"/>
      <w:pPr>
        <w:ind w:left="6480" w:hanging="360"/>
      </w:pPr>
      <w:rPr>
        <w:rFonts w:ascii="Wingdings" w:hAnsi="Wingdings" w:hint="default"/>
      </w:rPr>
    </w:lvl>
  </w:abstractNum>
  <w:abstractNum w:abstractNumId="3" w15:restartNumberingAfterBreak="0">
    <w:nsid w:val="243B1531"/>
    <w:multiLevelType w:val="hybridMultilevel"/>
    <w:tmpl w:val="FFFFFFFF"/>
    <w:lvl w:ilvl="0" w:tplc="20D27D72">
      <w:start w:val="1"/>
      <w:numFmt w:val="bullet"/>
      <w:lvlText w:val=""/>
      <w:lvlJc w:val="left"/>
      <w:pPr>
        <w:ind w:left="720" w:hanging="360"/>
      </w:pPr>
      <w:rPr>
        <w:rFonts w:ascii="Symbol" w:hAnsi="Symbol" w:hint="default"/>
      </w:rPr>
    </w:lvl>
    <w:lvl w:ilvl="1" w:tplc="2304BCD0">
      <w:start w:val="1"/>
      <w:numFmt w:val="bullet"/>
      <w:lvlText w:val="o"/>
      <w:lvlJc w:val="left"/>
      <w:pPr>
        <w:ind w:left="1440" w:hanging="360"/>
      </w:pPr>
      <w:rPr>
        <w:rFonts w:ascii="Courier New" w:hAnsi="Courier New" w:hint="default"/>
      </w:rPr>
    </w:lvl>
    <w:lvl w:ilvl="2" w:tplc="EA3A4638">
      <w:start w:val="1"/>
      <w:numFmt w:val="bullet"/>
      <w:lvlText w:val=""/>
      <w:lvlJc w:val="left"/>
      <w:pPr>
        <w:ind w:left="2160" w:hanging="360"/>
      </w:pPr>
      <w:rPr>
        <w:rFonts w:ascii="Wingdings" w:hAnsi="Wingdings" w:hint="default"/>
      </w:rPr>
    </w:lvl>
    <w:lvl w:ilvl="3" w:tplc="66BA549E">
      <w:start w:val="1"/>
      <w:numFmt w:val="bullet"/>
      <w:lvlText w:val=""/>
      <w:lvlJc w:val="left"/>
      <w:pPr>
        <w:ind w:left="2880" w:hanging="360"/>
      </w:pPr>
      <w:rPr>
        <w:rFonts w:ascii="Symbol" w:hAnsi="Symbol" w:hint="default"/>
      </w:rPr>
    </w:lvl>
    <w:lvl w:ilvl="4" w:tplc="8A0A3F50">
      <w:start w:val="1"/>
      <w:numFmt w:val="bullet"/>
      <w:lvlText w:val="o"/>
      <w:lvlJc w:val="left"/>
      <w:pPr>
        <w:ind w:left="3600" w:hanging="360"/>
      </w:pPr>
      <w:rPr>
        <w:rFonts w:ascii="Courier New" w:hAnsi="Courier New" w:hint="default"/>
      </w:rPr>
    </w:lvl>
    <w:lvl w:ilvl="5" w:tplc="489AB3D0">
      <w:start w:val="1"/>
      <w:numFmt w:val="bullet"/>
      <w:lvlText w:val=""/>
      <w:lvlJc w:val="left"/>
      <w:pPr>
        <w:ind w:left="4320" w:hanging="360"/>
      </w:pPr>
      <w:rPr>
        <w:rFonts w:ascii="Wingdings" w:hAnsi="Wingdings" w:hint="default"/>
      </w:rPr>
    </w:lvl>
    <w:lvl w:ilvl="6" w:tplc="AA74AD08">
      <w:start w:val="1"/>
      <w:numFmt w:val="bullet"/>
      <w:lvlText w:val=""/>
      <w:lvlJc w:val="left"/>
      <w:pPr>
        <w:ind w:left="5040" w:hanging="360"/>
      </w:pPr>
      <w:rPr>
        <w:rFonts w:ascii="Symbol" w:hAnsi="Symbol" w:hint="default"/>
      </w:rPr>
    </w:lvl>
    <w:lvl w:ilvl="7" w:tplc="C01C9D8C">
      <w:start w:val="1"/>
      <w:numFmt w:val="bullet"/>
      <w:lvlText w:val="o"/>
      <w:lvlJc w:val="left"/>
      <w:pPr>
        <w:ind w:left="5760" w:hanging="360"/>
      </w:pPr>
      <w:rPr>
        <w:rFonts w:ascii="Courier New" w:hAnsi="Courier New" w:hint="default"/>
      </w:rPr>
    </w:lvl>
    <w:lvl w:ilvl="8" w:tplc="81A2A396">
      <w:start w:val="1"/>
      <w:numFmt w:val="bullet"/>
      <w:lvlText w:val=""/>
      <w:lvlJc w:val="left"/>
      <w:pPr>
        <w:ind w:left="6480" w:hanging="360"/>
      </w:pPr>
      <w:rPr>
        <w:rFonts w:ascii="Wingdings" w:hAnsi="Wingdings" w:hint="default"/>
      </w:rPr>
    </w:lvl>
  </w:abstractNum>
  <w:abstractNum w:abstractNumId="4" w15:restartNumberingAfterBreak="0">
    <w:nsid w:val="2A7D11EE"/>
    <w:multiLevelType w:val="hybridMultilevel"/>
    <w:tmpl w:val="FFFFFFFF"/>
    <w:lvl w:ilvl="0" w:tplc="7BE44BE6">
      <w:start w:val="1"/>
      <w:numFmt w:val="bullet"/>
      <w:lvlText w:val=""/>
      <w:lvlJc w:val="left"/>
      <w:pPr>
        <w:ind w:left="720" w:hanging="360"/>
      </w:pPr>
      <w:rPr>
        <w:rFonts w:ascii="Symbol" w:hAnsi="Symbol" w:hint="default"/>
      </w:rPr>
    </w:lvl>
    <w:lvl w:ilvl="1" w:tplc="0E2ADA04">
      <w:start w:val="1"/>
      <w:numFmt w:val="bullet"/>
      <w:lvlText w:val="o"/>
      <w:lvlJc w:val="left"/>
      <w:pPr>
        <w:ind w:left="1440" w:hanging="360"/>
      </w:pPr>
      <w:rPr>
        <w:rFonts w:ascii="Courier New" w:hAnsi="Courier New" w:hint="default"/>
      </w:rPr>
    </w:lvl>
    <w:lvl w:ilvl="2" w:tplc="838AC7B2">
      <w:start w:val="1"/>
      <w:numFmt w:val="bullet"/>
      <w:lvlText w:val=""/>
      <w:lvlJc w:val="left"/>
      <w:pPr>
        <w:ind w:left="2160" w:hanging="360"/>
      </w:pPr>
      <w:rPr>
        <w:rFonts w:ascii="Wingdings" w:hAnsi="Wingdings" w:hint="default"/>
      </w:rPr>
    </w:lvl>
    <w:lvl w:ilvl="3" w:tplc="73724A74">
      <w:start w:val="1"/>
      <w:numFmt w:val="bullet"/>
      <w:lvlText w:val=""/>
      <w:lvlJc w:val="left"/>
      <w:pPr>
        <w:ind w:left="2880" w:hanging="360"/>
      </w:pPr>
      <w:rPr>
        <w:rFonts w:ascii="Symbol" w:hAnsi="Symbol" w:hint="default"/>
      </w:rPr>
    </w:lvl>
    <w:lvl w:ilvl="4" w:tplc="B9B4A288">
      <w:start w:val="1"/>
      <w:numFmt w:val="bullet"/>
      <w:lvlText w:val="o"/>
      <w:lvlJc w:val="left"/>
      <w:pPr>
        <w:ind w:left="3600" w:hanging="360"/>
      </w:pPr>
      <w:rPr>
        <w:rFonts w:ascii="Courier New" w:hAnsi="Courier New" w:hint="default"/>
      </w:rPr>
    </w:lvl>
    <w:lvl w:ilvl="5" w:tplc="D7B4CBC2">
      <w:start w:val="1"/>
      <w:numFmt w:val="bullet"/>
      <w:lvlText w:val=""/>
      <w:lvlJc w:val="left"/>
      <w:pPr>
        <w:ind w:left="4320" w:hanging="360"/>
      </w:pPr>
      <w:rPr>
        <w:rFonts w:ascii="Wingdings" w:hAnsi="Wingdings" w:hint="default"/>
      </w:rPr>
    </w:lvl>
    <w:lvl w:ilvl="6" w:tplc="5AD4E0A8">
      <w:start w:val="1"/>
      <w:numFmt w:val="bullet"/>
      <w:lvlText w:val=""/>
      <w:lvlJc w:val="left"/>
      <w:pPr>
        <w:ind w:left="5040" w:hanging="360"/>
      </w:pPr>
      <w:rPr>
        <w:rFonts w:ascii="Symbol" w:hAnsi="Symbol" w:hint="default"/>
      </w:rPr>
    </w:lvl>
    <w:lvl w:ilvl="7" w:tplc="0FA47FDA">
      <w:start w:val="1"/>
      <w:numFmt w:val="bullet"/>
      <w:lvlText w:val="o"/>
      <w:lvlJc w:val="left"/>
      <w:pPr>
        <w:ind w:left="5760" w:hanging="360"/>
      </w:pPr>
      <w:rPr>
        <w:rFonts w:ascii="Courier New" w:hAnsi="Courier New" w:hint="default"/>
      </w:rPr>
    </w:lvl>
    <w:lvl w:ilvl="8" w:tplc="4BA20106">
      <w:start w:val="1"/>
      <w:numFmt w:val="bullet"/>
      <w:lvlText w:val=""/>
      <w:lvlJc w:val="left"/>
      <w:pPr>
        <w:ind w:left="6480" w:hanging="360"/>
      </w:pPr>
      <w:rPr>
        <w:rFonts w:ascii="Wingdings" w:hAnsi="Wingdings" w:hint="default"/>
      </w:rPr>
    </w:lvl>
  </w:abstractNum>
  <w:abstractNum w:abstractNumId="5" w15:restartNumberingAfterBreak="0">
    <w:nsid w:val="38564716"/>
    <w:multiLevelType w:val="hybridMultilevel"/>
    <w:tmpl w:val="FFFFFFFF"/>
    <w:lvl w:ilvl="0" w:tplc="977E67AA">
      <w:start w:val="1"/>
      <w:numFmt w:val="decimal"/>
      <w:lvlText w:val="%1."/>
      <w:lvlJc w:val="left"/>
      <w:pPr>
        <w:ind w:left="720" w:hanging="360"/>
      </w:pPr>
    </w:lvl>
    <w:lvl w:ilvl="1" w:tplc="7916A44A">
      <w:start w:val="1"/>
      <w:numFmt w:val="lowerLetter"/>
      <w:lvlText w:val="%2."/>
      <w:lvlJc w:val="left"/>
      <w:pPr>
        <w:ind w:left="1440" w:hanging="360"/>
      </w:pPr>
    </w:lvl>
    <w:lvl w:ilvl="2" w:tplc="2D0EE326">
      <w:start w:val="1"/>
      <w:numFmt w:val="lowerRoman"/>
      <w:lvlText w:val="%3."/>
      <w:lvlJc w:val="right"/>
      <w:pPr>
        <w:ind w:left="2160" w:hanging="180"/>
      </w:pPr>
    </w:lvl>
    <w:lvl w:ilvl="3" w:tplc="DD1ABFA0">
      <w:start w:val="1"/>
      <w:numFmt w:val="decimal"/>
      <w:lvlText w:val="%4."/>
      <w:lvlJc w:val="left"/>
      <w:pPr>
        <w:ind w:left="2880" w:hanging="360"/>
      </w:pPr>
    </w:lvl>
    <w:lvl w:ilvl="4" w:tplc="14A8F788">
      <w:start w:val="1"/>
      <w:numFmt w:val="lowerLetter"/>
      <w:lvlText w:val="%5."/>
      <w:lvlJc w:val="left"/>
      <w:pPr>
        <w:ind w:left="3600" w:hanging="360"/>
      </w:pPr>
    </w:lvl>
    <w:lvl w:ilvl="5" w:tplc="D7F8EFA0">
      <w:start w:val="1"/>
      <w:numFmt w:val="lowerRoman"/>
      <w:lvlText w:val="%6."/>
      <w:lvlJc w:val="right"/>
      <w:pPr>
        <w:ind w:left="4320" w:hanging="180"/>
      </w:pPr>
    </w:lvl>
    <w:lvl w:ilvl="6" w:tplc="550064FE">
      <w:start w:val="1"/>
      <w:numFmt w:val="decimal"/>
      <w:lvlText w:val="%7."/>
      <w:lvlJc w:val="left"/>
      <w:pPr>
        <w:ind w:left="5040" w:hanging="360"/>
      </w:pPr>
    </w:lvl>
    <w:lvl w:ilvl="7" w:tplc="F022DF22">
      <w:start w:val="1"/>
      <w:numFmt w:val="lowerLetter"/>
      <w:lvlText w:val="%8."/>
      <w:lvlJc w:val="left"/>
      <w:pPr>
        <w:ind w:left="5760" w:hanging="360"/>
      </w:pPr>
    </w:lvl>
    <w:lvl w:ilvl="8" w:tplc="C94E4968">
      <w:start w:val="1"/>
      <w:numFmt w:val="lowerRoman"/>
      <w:lvlText w:val="%9."/>
      <w:lvlJc w:val="right"/>
      <w:pPr>
        <w:ind w:left="6480" w:hanging="180"/>
      </w:pPr>
    </w:lvl>
  </w:abstractNum>
  <w:abstractNum w:abstractNumId="6" w15:restartNumberingAfterBreak="0">
    <w:nsid w:val="426846C6"/>
    <w:multiLevelType w:val="hybridMultilevel"/>
    <w:tmpl w:val="FFFFFFFF"/>
    <w:lvl w:ilvl="0" w:tplc="391A1FE6">
      <w:start w:val="1"/>
      <w:numFmt w:val="bullet"/>
      <w:lvlText w:val=""/>
      <w:lvlJc w:val="left"/>
      <w:pPr>
        <w:ind w:left="720" w:hanging="360"/>
      </w:pPr>
      <w:rPr>
        <w:rFonts w:ascii="Symbol" w:hAnsi="Symbol" w:hint="default"/>
      </w:rPr>
    </w:lvl>
    <w:lvl w:ilvl="1" w:tplc="014AE7AC">
      <w:start w:val="1"/>
      <w:numFmt w:val="bullet"/>
      <w:lvlText w:val="o"/>
      <w:lvlJc w:val="left"/>
      <w:pPr>
        <w:ind w:left="1440" w:hanging="360"/>
      </w:pPr>
      <w:rPr>
        <w:rFonts w:ascii="Courier New" w:hAnsi="Courier New" w:hint="default"/>
      </w:rPr>
    </w:lvl>
    <w:lvl w:ilvl="2" w:tplc="6A78D6F2">
      <w:start w:val="1"/>
      <w:numFmt w:val="bullet"/>
      <w:lvlText w:val=""/>
      <w:lvlJc w:val="left"/>
      <w:pPr>
        <w:ind w:left="2160" w:hanging="360"/>
      </w:pPr>
      <w:rPr>
        <w:rFonts w:ascii="Wingdings" w:hAnsi="Wingdings" w:hint="default"/>
      </w:rPr>
    </w:lvl>
    <w:lvl w:ilvl="3" w:tplc="8F808D9A">
      <w:start w:val="1"/>
      <w:numFmt w:val="bullet"/>
      <w:lvlText w:val=""/>
      <w:lvlJc w:val="left"/>
      <w:pPr>
        <w:ind w:left="2880" w:hanging="360"/>
      </w:pPr>
      <w:rPr>
        <w:rFonts w:ascii="Symbol" w:hAnsi="Symbol" w:hint="default"/>
      </w:rPr>
    </w:lvl>
    <w:lvl w:ilvl="4" w:tplc="D5B4EA88">
      <w:start w:val="1"/>
      <w:numFmt w:val="bullet"/>
      <w:lvlText w:val="o"/>
      <w:lvlJc w:val="left"/>
      <w:pPr>
        <w:ind w:left="3600" w:hanging="360"/>
      </w:pPr>
      <w:rPr>
        <w:rFonts w:ascii="Courier New" w:hAnsi="Courier New" w:hint="default"/>
      </w:rPr>
    </w:lvl>
    <w:lvl w:ilvl="5" w:tplc="1A884BD6">
      <w:start w:val="1"/>
      <w:numFmt w:val="bullet"/>
      <w:lvlText w:val=""/>
      <w:lvlJc w:val="left"/>
      <w:pPr>
        <w:ind w:left="4320" w:hanging="360"/>
      </w:pPr>
      <w:rPr>
        <w:rFonts w:ascii="Wingdings" w:hAnsi="Wingdings" w:hint="default"/>
      </w:rPr>
    </w:lvl>
    <w:lvl w:ilvl="6" w:tplc="D8084784">
      <w:start w:val="1"/>
      <w:numFmt w:val="bullet"/>
      <w:lvlText w:val=""/>
      <w:lvlJc w:val="left"/>
      <w:pPr>
        <w:ind w:left="5040" w:hanging="360"/>
      </w:pPr>
      <w:rPr>
        <w:rFonts w:ascii="Symbol" w:hAnsi="Symbol" w:hint="default"/>
      </w:rPr>
    </w:lvl>
    <w:lvl w:ilvl="7" w:tplc="FA08BF7A">
      <w:start w:val="1"/>
      <w:numFmt w:val="bullet"/>
      <w:lvlText w:val="o"/>
      <w:lvlJc w:val="left"/>
      <w:pPr>
        <w:ind w:left="5760" w:hanging="360"/>
      </w:pPr>
      <w:rPr>
        <w:rFonts w:ascii="Courier New" w:hAnsi="Courier New" w:hint="default"/>
      </w:rPr>
    </w:lvl>
    <w:lvl w:ilvl="8" w:tplc="24089136">
      <w:start w:val="1"/>
      <w:numFmt w:val="bullet"/>
      <w:lvlText w:val=""/>
      <w:lvlJc w:val="left"/>
      <w:pPr>
        <w:ind w:left="6480" w:hanging="360"/>
      </w:pPr>
      <w:rPr>
        <w:rFonts w:ascii="Wingdings" w:hAnsi="Wingdings" w:hint="default"/>
      </w:rPr>
    </w:lvl>
  </w:abstractNum>
  <w:abstractNum w:abstractNumId="7" w15:restartNumberingAfterBreak="0">
    <w:nsid w:val="5A270087"/>
    <w:multiLevelType w:val="hybridMultilevel"/>
    <w:tmpl w:val="FFFFFFFF"/>
    <w:lvl w:ilvl="0" w:tplc="60B8F00C">
      <w:start w:val="1"/>
      <w:numFmt w:val="bullet"/>
      <w:lvlText w:val=""/>
      <w:lvlJc w:val="left"/>
      <w:pPr>
        <w:ind w:left="720" w:hanging="360"/>
      </w:pPr>
      <w:rPr>
        <w:rFonts w:ascii="Symbol" w:hAnsi="Symbol" w:hint="default"/>
      </w:rPr>
    </w:lvl>
    <w:lvl w:ilvl="1" w:tplc="9856B420">
      <w:start w:val="1"/>
      <w:numFmt w:val="bullet"/>
      <w:lvlText w:val="o"/>
      <w:lvlJc w:val="left"/>
      <w:pPr>
        <w:ind w:left="1440" w:hanging="360"/>
      </w:pPr>
      <w:rPr>
        <w:rFonts w:ascii="Courier New" w:hAnsi="Courier New" w:hint="default"/>
      </w:rPr>
    </w:lvl>
    <w:lvl w:ilvl="2" w:tplc="C870EC66">
      <w:start w:val="1"/>
      <w:numFmt w:val="bullet"/>
      <w:lvlText w:val=""/>
      <w:lvlJc w:val="left"/>
      <w:pPr>
        <w:ind w:left="2160" w:hanging="360"/>
      </w:pPr>
      <w:rPr>
        <w:rFonts w:ascii="Wingdings" w:hAnsi="Wingdings" w:hint="default"/>
      </w:rPr>
    </w:lvl>
    <w:lvl w:ilvl="3" w:tplc="BF3005F4">
      <w:start w:val="1"/>
      <w:numFmt w:val="bullet"/>
      <w:lvlText w:val=""/>
      <w:lvlJc w:val="left"/>
      <w:pPr>
        <w:ind w:left="2880" w:hanging="360"/>
      </w:pPr>
      <w:rPr>
        <w:rFonts w:ascii="Symbol" w:hAnsi="Symbol" w:hint="default"/>
      </w:rPr>
    </w:lvl>
    <w:lvl w:ilvl="4" w:tplc="B1163688">
      <w:start w:val="1"/>
      <w:numFmt w:val="bullet"/>
      <w:lvlText w:val="o"/>
      <w:lvlJc w:val="left"/>
      <w:pPr>
        <w:ind w:left="3600" w:hanging="360"/>
      </w:pPr>
      <w:rPr>
        <w:rFonts w:ascii="Courier New" w:hAnsi="Courier New" w:hint="default"/>
      </w:rPr>
    </w:lvl>
    <w:lvl w:ilvl="5" w:tplc="4B2689B4">
      <w:start w:val="1"/>
      <w:numFmt w:val="bullet"/>
      <w:lvlText w:val=""/>
      <w:lvlJc w:val="left"/>
      <w:pPr>
        <w:ind w:left="4320" w:hanging="360"/>
      </w:pPr>
      <w:rPr>
        <w:rFonts w:ascii="Wingdings" w:hAnsi="Wingdings" w:hint="default"/>
      </w:rPr>
    </w:lvl>
    <w:lvl w:ilvl="6" w:tplc="3842874C">
      <w:start w:val="1"/>
      <w:numFmt w:val="bullet"/>
      <w:lvlText w:val=""/>
      <w:lvlJc w:val="left"/>
      <w:pPr>
        <w:ind w:left="5040" w:hanging="360"/>
      </w:pPr>
      <w:rPr>
        <w:rFonts w:ascii="Symbol" w:hAnsi="Symbol" w:hint="default"/>
      </w:rPr>
    </w:lvl>
    <w:lvl w:ilvl="7" w:tplc="F940CB1C">
      <w:start w:val="1"/>
      <w:numFmt w:val="bullet"/>
      <w:lvlText w:val="o"/>
      <w:lvlJc w:val="left"/>
      <w:pPr>
        <w:ind w:left="5760" w:hanging="360"/>
      </w:pPr>
      <w:rPr>
        <w:rFonts w:ascii="Courier New" w:hAnsi="Courier New" w:hint="default"/>
      </w:rPr>
    </w:lvl>
    <w:lvl w:ilvl="8" w:tplc="9D7E6FF8">
      <w:start w:val="1"/>
      <w:numFmt w:val="bullet"/>
      <w:lvlText w:val=""/>
      <w:lvlJc w:val="left"/>
      <w:pPr>
        <w:ind w:left="6480" w:hanging="360"/>
      </w:pPr>
      <w:rPr>
        <w:rFonts w:ascii="Wingdings" w:hAnsi="Wingdings" w:hint="default"/>
      </w:rPr>
    </w:lvl>
  </w:abstractNum>
  <w:abstractNum w:abstractNumId="8" w15:restartNumberingAfterBreak="0">
    <w:nsid w:val="5B8D6718"/>
    <w:multiLevelType w:val="hybridMultilevel"/>
    <w:tmpl w:val="FFFFFFFF"/>
    <w:lvl w:ilvl="0" w:tplc="CE66A638">
      <w:start w:val="1"/>
      <w:numFmt w:val="bullet"/>
      <w:lvlText w:val="-"/>
      <w:lvlJc w:val="left"/>
      <w:pPr>
        <w:ind w:left="720" w:hanging="360"/>
      </w:pPr>
      <w:rPr>
        <w:rFonts w:ascii="Aptos" w:hAnsi="Aptos" w:hint="default"/>
      </w:rPr>
    </w:lvl>
    <w:lvl w:ilvl="1" w:tplc="38381A06">
      <w:start w:val="1"/>
      <w:numFmt w:val="bullet"/>
      <w:lvlText w:val="o"/>
      <w:lvlJc w:val="left"/>
      <w:pPr>
        <w:ind w:left="1440" w:hanging="360"/>
      </w:pPr>
      <w:rPr>
        <w:rFonts w:ascii="Courier New" w:hAnsi="Courier New" w:hint="default"/>
      </w:rPr>
    </w:lvl>
    <w:lvl w:ilvl="2" w:tplc="A7ECB358">
      <w:start w:val="1"/>
      <w:numFmt w:val="bullet"/>
      <w:lvlText w:val=""/>
      <w:lvlJc w:val="left"/>
      <w:pPr>
        <w:ind w:left="2160" w:hanging="360"/>
      </w:pPr>
      <w:rPr>
        <w:rFonts w:ascii="Wingdings" w:hAnsi="Wingdings" w:hint="default"/>
      </w:rPr>
    </w:lvl>
    <w:lvl w:ilvl="3" w:tplc="A88A696C">
      <w:start w:val="1"/>
      <w:numFmt w:val="bullet"/>
      <w:lvlText w:val=""/>
      <w:lvlJc w:val="left"/>
      <w:pPr>
        <w:ind w:left="2880" w:hanging="360"/>
      </w:pPr>
      <w:rPr>
        <w:rFonts w:ascii="Symbol" w:hAnsi="Symbol" w:hint="default"/>
      </w:rPr>
    </w:lvl>
    <w:lvl w:ilvl="4" w:tplc="C56E812A">
      <w:start w:val="1"/>
      <w:numFmt w:val="bullet"/>
      <w:lvlText w:val="o"/>
      <w:lvlJc w:val="left"/>
      <w:pPr>
        <w:ind w:left="3600" w:hanging="360"/>
      </w:pPr>
      <w:rPr>
        <w:rFonts w:ascii="Courier New" w:hAnsi="Courier New" w:hint="default"/>
      </w:rPr>
    </w:lvl>
    <w:lvl w:ilvl="5" w:tplc="9AC03628">
      <w:start w:val="1"/>
      <w:numFmt w:val="bullet"/>
      <w:lvlText w:val=""/>
      <w:lvlJc w:val="left"/>
      <w:pPr>
        <w:ind w:left="4320" w:hanging="360"/>
      </w:pPr>
      <w:rPr>
        <w:rFonts w:ascii="Wingdings" w:hAnsi="Wingdings" w:hint="default"/>
      </w:rPr>
    </w:lvl>
    <w:lvl w:ilvl="6" w:tplc="0F6E4DFE">
      <w:start w:val="1"/>
      <w:numFmt w:val="bullet"/>
      <w:lvlText w:val=""/>
      <w:lvlJc w:val="left"/>
      <w:pPr>
        <w:ind w:left="5040" w:hanging="360"/>
      </w:pPr>
      <w:rPr>
        <w:rFonts w:ascii="Symbol" w:hAnsi="Symbol" w:hint="default"/>
      </w:rPr>
    </w:lvl>
    <w:lvl w:ilvl="7" w:tplc="657600BA">
      <w:start w:val="1"/>
      <w:numFmt w:val="bullet"/>
      <w:lvlText w:val="o"/>
      <w:lvlJc w:val="left"/>
      <w:pPr>
        <w:ind w:left="5760" w:hanging="360"/>
      </w:pPr>
      <w:rPr>
        <w:rFonts w:ascii="Courier New" w:hAnsi="Courier New" w:hint="default"/>
      </w:rPr>
    </w:lvl>
    <w:lvl w:ilvl="8" w:tplc="27A2C366">
      <w:start w:val="1"/>
      <w:numFmt w:val="bullet"/>
      <w:lvlText w:val=""/>
      <w:lvlJc w:val="left"/>
      <w:pPr>
        <w:ind w:left="6480" w:hanging="360"/>
      </w:pPr>
      <w:rPr>
        <w:rFonts w:ascii="Wingdings" w:hAnsi="Wingdings" w:hint="default"/>
      </w:rPr>
    </w:lvl>
  </w:abstractNum>
  <w:abstractNum w:abstractNumId="9" w15:restartNumberingAfterBreak="0">
    <w:nsid w:val="5D1F3933"/>
    <w:multiLevelType w:val="hybridMultilevel"/>
    <w:tmpl w:val="FFFFFFFF"/>
    <w:lvl w:ilvl="0" w:tplc="EF38EBD6">
      <w:start w:val="1"/>
      <w:numFmt w:val="bullet"/>
      <w:lvlText w:val=""/>
      <w:lvlJc w:val="left"/>
      <w:pPr>
        <w:ind w:left="720" w:hanging="360"/>
      </w:pPr>
      <w:rPr>
        <w:rFonts w:ascii="Symbol" w:hAnsi="Symbol" w:hint="default"/>
      </w:rPr>
    </w:lvl>
    <w:lvl w:ilvl="1" w:tplc="27B4859E">
      <w:start w:val="1"/>
      <w:numFmt w:val="bullet"/>
      <w:lvlText w:val="o"/>
      <w:lvlJc w:val="left"/>
      <w:pPr>
        <w:ind w:left="1440" w:hanging="360"/>
      </w:pPr>
      <w:rPr>
        <w:rFonts w:ascii="Courier New" w:hAnsi="Courier New" w:hint="default"/>
      </w:rPr>
    </w:lvl>
    <w:lvl w:ilvl="2" w:tplc="60B465BE">
      <w:start w:val="1"/>
      <w:numFmt w:val="bullet"/>
      <w:lvlText w:val=""/>
      <w:lvlJc w:val="left"/>
      <w:pPr>
        <w:ind w:left="2160" w:hanging="360"/>
      </w:pPr>
      <w:rPr>
        <w:rFonts w:ascii="Wingdings" w:hAnsi="Wingdings" w:hint="default"/>
      </w:rPr>
    </w:lvl>
    <w:lvl w:ilvl="3" w:tplc="8F623D4E">
      <w:start w:val="1"/>
      <w:numFmt w:val="bullet"/>
      <w:lvlText w:val=""/>
      <w:lvlJc w:val="left"/>
      <w:pPr>
        <w:ind w:left="2880" w:hanging="360"/>
      </w:pPr>
      <w:rPr>
        <w:rFonts w:ascii="Symbol" w:hAnsi="Symbol" w:hint="default"/>
      </w:rPr>
    </w:lvl>
    <w:lvl w:ilvl="4" w:tplc="69E4A766">
      <w:start w:val="1"/>
      <w:numFmt w:val="bullet"/>
      <w:lvlText w:val="o"/>
      <w:lvlJc w:val="left"/>
      <w:pPr>
        <w:ind w:left="3600" w:hanging="360"/>
      </w:pPr>
      <w:rPr>
        <w:rFonts w:ascii="Courier New" w:hAnsi="Courier New" w:hint="default"/>
      </w:rPr>
    </w:lvl>
    <w:lvl w:ilvl="5" w:tplc="9668AAD4">
      <w:start w:val="1"/>
      <w:numFmt w:val="bullet"/>
      <w:lvlText w:val=""/>
      <w:lvlJc w:val="left"/>
      <w:pPr>
        <w:ind w:left="4320" w:hanging="360"/>
      </w:pPr>
      <w:rPr>
        <w:rFonts w:ascii="Wingdings" w:hAnsi="Wingdings" w:hint="default"/>
      </w:rPr>
    </w:lvl>
    <w:lvl w:ilvl="6" w:tplc="036208B2">
      <w:start w:val="1"/>
      <w:numFmt w:val="bullet"/>
      <w:lvlText w:val=""/>
      <w:lvlJc w:val="left"/>
      <w:pPr>
        <w:ind w:left="5040" w:hanging="360"/>
      </w:pPr>
      <w:rPr>
        <w:rFonts w:ascii="Symbol" w:hAnsi="Symbol" w:hint="default"/>
      </w:rPr>
    </w:lvl>
    <w:lvl w:ilvl="7" w:tplc="E6DAD52E">
      <w:start w:val="1"/>
      <w:numFmt w:val="bullet"/>
      <w:lvlText w:val="o"/>
      <w:lvlJc w:val="left"/>
      <w:pPr>
        <w:ind w:left="5760" w:hanging="360"/>
      </w:pPr>
      <w:rPr>
        <w:rFonts w:ascii="Courier New" w:hAnsi="Courier New" w:hint="default"/>
      </w:rPr>
    </w:lvl>
    <w:lvl w:ilvl="8" w:tplc="08668E64">
      <w:start w:val="1"/>
      <w:numFmt w:val="bullet"/>
      <w:lvlText w:val=""/>
      <w:lvlJc w:val="left"/>
      <w:pPr>
        <w:ind w:left="6480" w:hanging="360"/>
      </w:pPr>
      <w:rPr>
        <w:rFonts w:ascii="Wingdings" w:hAnsi="Wingdings" w:hint="default"/>
      </w:rPr>
    </w:lvl>
  </w:abstractNum>
  <w:abstractNum w:abstractNumId="10" w15:restartNumberingAfterBreak="0">
    <w:nsid w:val="7ADE41DB"/>
    <w:multiLevelType w:val="hybridMultilevel"/>
    <w:tmpl w:val="FFFFFFFF"/>
    <w:lvl w:ilvl="0" w:tplc="CA8C026C">
      <w:start w:val="1"/>
      <w:numFmt w:val="bullet"/>
      <w:lvlText w:val=""/>
      <w:lvlJc w:val="left"/>
      <w:pPr>
        <w:ind w:left="720" w:hanging="360"/>
      </w:pPr>
      <w:rPr>
        <w:rFonts w:ascii="Symbol" w:hAnsi="Symbol" w:hint="default"/>
      </w:rPr>
    </w:lvl>
    <w:lvl w:ilvl="1" w:tplc="67D4CC4A">
      <w:start w:val="1"/>
      <w:numFmt w:val="bullet"/>
      <w:lvlText w:val="o"/>
      <w:lvlJc w:val="left"/>
      <w:pPr>
        <w:ind w:left="1440" w:hanging="360"/>
      </w:pPr>
      <w:rPr>
        <w:rFonts w:ascii="Courier New" w:hAnsi="Courier New" w:hint="default"/>
      </w:rPr>
    </w:lvl>
    <w:lvl w:ilvl="2" w:tplc="B9D48822">
      <w:start w:val="1"/>
      <w:numFmt w:val="bullet"/>
      <w:lvlText w:val=""/>
      <w:lvlJc w:val="left"/>
      <w:pPr>
        <w:ind w:left="2160" w:hanging="360"/>
      </w:pPr>
      <w:rPr>
        <w:rFonts w:ascii="Wingdings" w:hAnsi="Wingdings" w:hint="default"/>
      </w:rPr>
    </w:lvl>
    <w:lvl w:ilvl="3" w:tplc="1DB62034">
      <w:start w:val="1"/>
      <w:numFmt w:val="bullet"/>
      <w:lvlText w:val=""/>
      <w:lvlJc w:val="left"/>
      <w:pPr>
        <w:ind w:left="2880" w:hanging="360"/>
      </w:pPr>
      <w:rPr>
        <w:rFonts w:ascii="Symbol" w:hAnsi="Symbol" w:hint="default"/>
      </w:rPr>
    </w:lvl>
    <w:lvl w:ilvl="4" w:tplc="DC7E7BAA">
      <w:start w:val="1"/>
      <w:numFmt w:val="bullet"/>
      <w:lvlText w:val="o"/>
      <w:lvlJc w:val="left"/>
      <w:pPr>
        <w:ind w:left="3600" w:hanging="360"/>
      </w:pPr>
      <w:rPr>
        <w:rFonts w:ascii="Courier New" w:hAnsi="Courier New" w:hint="default"/>
      </w:rPr>
    </w:lvl>
    <w:lvl w:ilvl="5" w:tplc="9774D55C">
      <w:start w:val="1"/>
      <w:numFmt w:val="bullet"/>
      <w:lvlText w:val=""/>
      <w:lvlJc w:val="left"/>
      <w:pPr>
        <w:ind w:left="4320" w:hanging="360"/>
      </w:pPr>
      <w:rPr>
        <w:rFonts w:ascii="Wingdings" w:hAnsi="Wingdings" w:hint="default"/>
      </w:rPr>
    </w:lvl>
    <w:lvl w:ilvl="6" w:tplc="EA42AB16">
      <w:start w:val="1"/>
      <w:numFmt w:val="bullet"/>
      <w:lvlText w:val=""/>
      <w:lvlJc w:val="left"/>
      <w:pPr>
        <w:ind w:left="5040" w:hanging="360"/>
      </w:pPr>
      <w:rPr>
        <w:rFonts w:ascii="Symbol" w:hAnsi="Symbol" w:hint="default"/>
      </w:rPr>
    </w:lvl>
    <w:lvl w:ilvl="7" w:tplc="0888BE28">
      <w:start w:val="1"/>
      <w:numFmt w:val="bullet"/>
      <w:lvlText w:val="o"/>
      <w:lvlJc w:val="left"/>
      <w:pPr>
        <w:ind w:left="5760" w:hanging="360"/>
      </w:pPr>
      <w:rPr>
        <w:rFonts w:ascii="Courier New" w:hAnsi="Courier New" w:hint="default"/>
      </w:rPr>
    </w:lvl>
    <w:lvl w:ilvl="8" w:tplc="894EE206">
      <w:start w:val="1"/>
      <w:numFmt w:val="bullet"/>
      <w:lvlText w:val=""/>
      <w:lvlJc w:val="left"/>
      <w:pPr>
        <w:ind w:left="6480" w:hanging="360"/>
      </w:pPr>
      <w:rPr>
        <w:rFonts w:ascii="Wingdings" w:hAnsi="Wingdings" w:hint="default"/>
      </w:rPr>
    </w:lvl>
  </w:abstractNum>
  <w:num w:numId="1" w16cid:durableId="1001471112">
    <w:abstractNumId w:val="5"/>
  </w:num>
  <w:num w:numId="2" w16cid:durableId="1315987219">
    <w:abstractNumId w:val="2"/>
  </w:num>
  <w:num w:numId="3" w16cid:durableId="1468353643">
    <w:abstractNumId w:val="4"/>
  </w:num>
  <w:num w:numId="4" w16cid:durableId="1513882210">
    <w:abstractNumId w:val="7"/>
  </w:num>
  <w:num w:numId="5" w16cid:durableId="1790584061">
    <w:abstractNumId w:val="0"/>
  </w:num>
  <w:num w:numId="6" w16cid:durableId="1895433841">
    <w:abstractNumId w:val="6"/>
  </w:num>
  <w:num w:numId="7" w16cid:durableId="194274749">
    <w:abstractNumId w:val="9"/>
  </w:num>
  <w:num w:numId="8" w16cid:durableId="225920807">
    <w:abstractNumId w:val="1"/>
  </w:num>
  <w:num w:numId="9" w16cid:durableId="289751443">
    <w:abstractNumId w:val="10"/>
  </w:num>
  <w:num w:numId="10" w16cid:durableId="444547201">
    <w:abstractNumId w:val="3"/>
  </w:num>
  <w:num w:numId="11" w16cid:durableId="662660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3BD76"/>
    <w:rsid w:val="000165AD"/>
    <w:rsid w:val="00024D43"/>
    <w:rsid w:val="00076ED1"/>
    <w:rsid w:val="000B7580"/>
    <w:rsid w:val="00126F61"/>
    <w:rsid w:val="00146B85"/>
    <w:rsid w:val="001625CD"/>
    <w:rsid w:val="001906D8"/>
    <w:rsid w:val="001A29EF"/>
    <w:rsid w:val="001A6357"/>
    <w:rsid w:val="002215AB"/>
    <w:rsid w:val="00244945"/>
    <w:rsid w:val="00260DFE"/>
    <w:rsid w:val="00263D1B"/>
    <w:rsid w:val="002A7D11"/>
    <w:rsid w:val="002B0A82"/>
    <w:rsid w:val="002E0C78"/>
    <w:rsid w:val="002F2CAB"/>
    <w:rsid w:val="003151B1"/>
    <w:rsid w:val="00315AFF"/>
    <w:rsid w:val="00347F66"/>
    <w:rsid w:val="00372D11"/>
    <w:rsid w:val="003F1344"/>
    <w:rsid w:val="00444C8C"/>
    <w:rsid w:val="00472181"/>
    <w:rsid w:val="004D5262"/>
    <w:rsid w:val="004E1B7F"/>
    <w:rsid w:val="004F714F"/>
    <w:rsid w:val="00502064"/>
    <w:rsid w:val="0050550C"/>
    <w:rsid w:val="0052477B"/>
    <w:rsid w:val="0052789F"/>
    <w:rsid w:val="0056606F"/>
    <w:rsid w:val="005A599F"/>
    <w:rsid w:val="005C50E1"/>
    <w:rsid w:val="005E096C"/>
    <w:rsid w:val="005F4F40"/>
    <w:rsid w:val="00620C72"/>
    <w:rsid w:val="00630A29"/>
    <w:rsid w:val="0064128A"/>
    <w:rsid w:val="006C5BCE"/>
    <w:rsid w:val="0071040C"/>
    <w:rsid w:val="0071726E"/>
    <w:rsid w:val="0073036B"/>
    <w:rsid w:val="00730899"/>
    <w:rsid w:val="0076515D"/>
    <w:rsid w:val="007A1BD4"/>
    <w:rsid w:val="007F56DB"/>
    <w:rsid w:val="007F78E8"/>
    <w:rsid w:val="00810EFD"/>
    <w:rsid w:val="0086669F"/>
    <w:rsid w:val="008C0ADE"/>
    <w:rsid w:val="008E2D37"/>
    <w:rsid w:val="008F0DE2"/>
    <w:rsid w:val="00906F62"/>
    <w:rsid w:val="00991400"/>
    <w:rsid w:val="0099305E"/>
    <w:rsid w:val="009A0C67"/>
    <w:rsid w:val="009B7DF8"/>
    <w:rsid w:val="009D3873"/>
    <w:rsid w:val="009F237A"/>
    <w:rsid w:val="009F299D"/>
    <w:rsid w:val="009F4463"/>
    <w:rsid w:val="00A1790A"/>
    <w:rsid w:val="00A33E01"/>
    <w:rsid w:val="00A44FDB"/>
    <w:rsid w:val="00A561B7"/>
    <w:rsid w:val="00AB119F"/>
    <w:rsid w:val="00AD03D1"/>
    <w:rsid w:val="00AF1C94"/>
    <w:rsid w:val="00AF1D09"/>
    <w:rsid w:val="00AF4371"/>
    <w:rsid w:val="00B01ECB"/>
    <w:rsid w:val="00B3168A"/>
    <w:rsid w:val="00B318CA"/>
    <w:rsid w:val="00B40AA6"/>
    <w:rsid w:val="00B44EAD"/>
    <w:rsid w:val="00B97FA6"/>
    <w:rsid w:val="00BD1E31"/>
    <w:rsid w:val="00BD6182"/>
    <w:rsid w:val="00BF69B0"/>
    <w:rsid w:val="00C43CCB"/>
    <w:rsid w:val="00CA1D45"/>
    <w:rsid w:val="00CB6B0E"/>
    <w:rsid w:val="00CE6DC5"/>
    <w:rsid w:val="00CE78B8"/>
    <w:rsid w:val="00CF0EFC"/>
    <w:rsid w:val="00D11575"/>
    <w:rsid w:val="00D155FF"/>
    <w:rsid w:val="00D15FC5"/>
    <w:rsid w:val="00D2210A"/>
    <w:rsid w:val="00D27CA1"/>
    <w:rsid w:val="00D364F0"/>
    <w:rsid w:val="00D46736"/>
    <w:rsid w:val="00D76E9D"/>
    <w:rsid w:val="00D8665A"/>
    <w:rsid w:val="00D91D16"/>
    <w:rsid w:val="00DA471A"/>
    <w:rsid w:val="00DA6754"/>
    <w:rsid w:val="00DB3B21"/>
    <w:rsid w:val="00DB47C9"/>
    <w:rsid w:val="00E01377"/>
    <w:rsid w:val="00E02649"/>
    <w:rsid w:val="00E27DB6"/>
    <w:rsid w:val="00E310F6"/>
    <w:rsid w:val="00EA7B4F"/>
    <w:rsid w:val="00EC6DD3"/>
    <w:rsid w:val="00EC9DA7"/>
    <w:rsid w:val="00EE3117"/>
    <w:rsid w:val="00F10885"/>
    <w:rsid w:val="00F451B6"/>
    <w:rsid w:val="00F72578"/>
    <w:rsid w:val="00F7748E"/>
    <w:rsid w:val="00F909C7"/>
    <w:rsid w:val="00FB52B4"/>
    <w:rsid w:val="00FE5CBE"/>
    <w:rsid w:val="0146B274"/>
    <w:rsid w:val="023A6AB1"/>
    <w:rsid w:val="034EB8E7"/>
    <w:rsid w:val="04B7EA5E"/>
    <w:rsid w:val="04DBEE62"/>
    <w:rsid w:val="06B8FC24"/>
    <w:rsid w:val="078E6B8D"/>
    <w:rsid w:val="07D712E9"/>
    <w:rsid w:val="0937105A"/>
    <w:rsid w:val="09787EED"/>
    <w:rsid w:val="0AEB2319"/>
    <w:rsid w:val="0B49ED55"/>
    <w:rsid w:val="0C55B7B9"/>
    <w:rsid w:val="0CDE67BD"/>
    <w:rsid w:val="0D9EB01C"/>
    <w:rsid w:val="0DE0A792"/>
    <w:rsid w:val="102300F2"/>
    <w:rsid w:val="116A23DD"/>
    <w:rsid w:val="11956AB0"/>
    <w:rsid w:val="121A9830"/>
    <w:rsid w:val="140EC49A"/>
    <w:rsid w:val="146A3994"/>
    <w:rsid w:val="156F65AA"/>
    <w:rsid w:val="1578233B"/>
    <w:rsid w:val="174D9178"/>
    <w:rsid w:val="17FCFA53"/>
    <w:rsid w:val="181E13C2"/>
    <w:rsid w:val="19D38110"/>
    <w:rsid w:val="1A47152D"/>
    <w:rsid w:val="1BF487F5"/>
    <w:rsid w:val="1C1DFD69"/>
    <w:rsid w:val="1D84E2A1"/>
    <w:rsid w:val="206194EA"/>
    <w:rsid w:val="2156706A"/>
    <w:rsid w:val="22D0E342"/>
    <w:rsid w:val="277C2778"/>
    <w:rsid w:val="27F20D0D"/>
    <w:rsid w:val="28081FCD"/>
    <w:rsid w:val="2C2A2A05"/>
    <w:rsid w:val="2D3F6E1A"/>
    <w:rsid w:val="2D76199C"/>
    <w:rsid w:val="2E03BD76"/>
    <w:rsid w:val="2EEADA2E"/>
    <w:rsid w:val="2F0E559F"/>
    <w:rsid w:val="2F53363E"/>
    <w:rsid w:val="31D5B3DF"/>
    <w:rsid w:val="31DBF4EB"/>
    <w:rsid w:val="32419384"/>
    <w:rsid w:val="32717F14"/>
    <w:rsid w:val="32E594E5"/>
    <w:rsid w:val="330D1420"/>
    <w:rsid w:val="33B2CA19"/>
    <w:rsid w:val="349B8D0A"/>
    <w:rsid w:val="362A55D2"/>
    <w:rsid w:val="36C292F4"/>
    <w:rsid w:val="36FB7BEF"/>
    <w:rsid w:val="3798AEAC"/>
    <w:rsid w:val="38648FEF"/>
    <w:rsid w:val="38AD32C8"/>
    <w:rsid w:val="3A648764"/>
    <w:rsid w:val="3AFC6D22"/>
    <w:rsid w:val="3C423401"/>
    <w:rsid w:val="3CAED3D8"/>
    <w:rsid w:val="3E2F4D96"/>
    <w:rsid w:val="40E91639"/>
    <w:rsid w:val="41C7B609"/>
    <w:rsid w:val="42772F70"/>
    <w:rsid w:val="432E2AA8"/>
    <w:rsid w:val="4337DEDA"/>
    <w:rsid w:val="4B707E08"/>
    <w:rsid w:val="4C35C72F"/>
    <w:rsid w:val="4DEA1EF9"/>
    <w:rsid w:val="4E042269"/>
    <w:rsid w:val="4E491727"/>
    <w:rsid w:val="4F63DA29"/>
    <w:rsid w:val="502D99D9"/>
    <w:rsid w:val="51967210"/>
    <w:rsid w:val="52C8680A"/>
    <w:rsid w:val="52DC4753"/>
    <w:rsid w:val="54286CE0"/>
    <w:rsid w:val="57832BFA"/>
    <w:rsid w:val="578833F9"/>
    <w:rsid w:val="588AD014"/>
    <w:rsid w:val="5ABD68D3"/>
    <w:rsid w:val="5AC9BDF4"/>
    <w:rsid w:val="5CCD7182"/>
    <w:rsid w:val="5DBF9342"/>
    <w:rsid w:val="5EE44EFF"/>
    <w:rsid w:val="5F78C48D"/>
    <w:rsid w:val="61B97567"/>
    <w:rsid w:val="63C8F380"/>
    <w:rsid w:val="642EFF91"/>
    <w:rsid w:val="65592A0C"/>
    <w:rsid w:val="65BF716D"/>
    <w:rsid w:val="66DA144E"/>
    <w:rsid w:val="67C99498"/>
    <w:rsid w:val="6875364E"/>
    <w:rsid w:val="697988B9"/>
    <w:rsid w:val="69FADE2B"/>
    <w:rsid w:val="6A69CBD4"/>
    <w:rsid w:val="6AAB7A0B"/>
    <w:rsid w:val="6C531E33"/>
    <w:rsid w:val="6C75555B"/>
    <w:rsid w:val="6C9610E8"/>
    <w:rsid w:val="6D1BE4BE"/>
    <w:rsid w:val="6D840E1A"/>
    <w:rsid w:val="701FAB55"/>
    <w:rsid w:val="7033767F"/>
    <w:rsid w:val="704D9ECD"/>
    <w:rsid w:val="727FA69A"/>
    <w:rsid w:val="74D86F9B"/>
    <w:rsid w:val="75FC7CD8"/>
    <w:rsid w:val="766158EC"/>
    <w:rsid w:val="784A18B4"/>
    <w:rsid w:val="7900E623"/>
    <w:rsid w:val="793BEE2E"/>
    <w:rsid w:val="7A955DA5"/>
    <w:rsid w:val="7E5A30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BFD8C"/>
  <w15:chartTrackingRefBased/>
  <w15:docId w15:val="{49AA0935-2A72-458E-A912-80AB40A4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rsid w:val="7900E6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uiPriority w:val="9"/>
    <w:unhideWhenUsed/>
    <w:qFormat/>
    <w:rsid w:val="7900E6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uiPriority w:val="9"/>
    <w:unhideWhenUsed/>
    <w:qFormat/>
    <w:rsid w:val="7900E6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uiPriority w:val="9"/>
    <w:unhideWhenUsed/>
    <w:qFormat/>
    <w:rsid w:val="7900E623"/>
    <w:pPr>
      <w:keepNext/>
      <w:keepLines/>
      <w:spacing w:before="80" w:after="40"/>
      <w:outlineLvl w:val="3"/>
    </w:pPr>
    <w:rPr>
      <w:rFonts w:eastAsiaTheme="majorEastAsia" w:cstheme="majorBidi"/>
      <w:i/>
      <w:iCs/>
      <w:color w:val="0F476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sid w:val="7900E623"/>
    <w:rPr>
      <w:color w:val="467886"/>
      <w:u w:val="single"/>
    </w:rPr>
  </w:style>
  <w:style w:type="character" w:customStyle="1" w:styleId="NichtaufgelsteErwhnung1">
    <w:name w:val="Nicht aufgelöste Erwähnung1"/>
    <w:basedOn w:val="Absatz-Standardschriftart"/>
    <w:uiPriority w:val="99"/>
    <w:semiHidden/>
    <w:unhideWhenUsed/>
    <w:rsid w:val="00315AFF"/>
    <w:rPr>
      <w:color w:val="605E5C"/>
      <w:shd w:val="clear" w:color="auto" w:fill="E1DFDD"/>
    </w:rPr>
  </w:style>
  <w:style w:type="character" w:customStyle="1" w:styleId="NichtaufgelsteErwhnung0">
    <w:name w:val="Nicht aufgelöste Erwähnung0"/>
    <w:basedOn w:val="Absatz-Standardschriftart"/>
    <w:uiPriority w:val="99"/>
    <w:semiHidden/>
    <w:unhideWhenUsed/>
    <w:rsid w:val="00F451B6"/>
    <w:rPr>
      <w:color w:val="605E5C"/>
      <w:shd w:val="clear" w:color="auto" w:fill="E1DFDD"/>
    </w:rPr>
  </w:style>
  <w:style w:type="character" w:styleId="NichtaufgelsteErwhnung">
    <w:name w:val="Unresolved Mention"/>
    <w:basedOn w:val="Absatz-Standardschriftart"/>
    <w:uiPriority w:val="99"/>
    <w:semiHidden/>
    <w:unhideWhenUsed/>
    <w:rsid w:val="00EC6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lianzgegenhass.de" TargetMode="External"/><Relationship Id="rId13" Type="http://schemas.openxmlformats.org/officeDocument/2006/relationships/hyperlink" Target="https://www.neuemedienmacher.de/glossar/antimuslimischer-rassism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lossar.neuemedienmacher.de/glossar/muslim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claim-organisation.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lossar.neuemedienmacher.de/glossar/islamfeindlichkeit/" TargetMode="External"/><Relationship Id="rId5" Type="http://schemas.openxmlformats.org/officeDocument/2006/relationships/styles" Target="styles.xml"/><Relationship Id="rId15" Type="http://schemas.openxmlformats.org/officeDocument/2006/relationships/hyperlink" Target="http://www.claim-organisation.de/aktuelles/publikationen/" TargetMode="External"/><Relationship Id="rId10" Type="http://schemas.openxmlformats.org/officeDocument/2006/relationships/hyperlink" Target="https://glossar.neuemedienmacher.de/glossar/islamophobie/" TargetMode="External"/><Relationship Id="rId4" Type="http://schemas.openxmlformats.org/officeDocument/2006/relationships/numbering" Target="numbering.xml"/><Relationship Id="rId9" Type="http://schemas.openxmlformats.org/officeDocument/2006/relationships/hyperlink" Target="https://glossar.neuemedienmacher.de/glossar/muslime/" TargetMode="External"/><Relationship Id="rId14" Type="http://schemas.openxmlformats.org/officeDocument/2006/relationships/hyperlink" Target="http://www.claim-organisatio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A0A293502283408B3B236558A2CAE3" ma:contentTypeVersion="19" ma:contentTypeDescription="Ein neues Dokument erstellen." ma:contentTypeScope="" ma:versionID="7604868017500f6b4b0fd69ecec5fdc7">
  <xsd:schema xmlns:xsd="http://www.w3.org/2001/XMLSchema" xmlns:xs="http://www.w3.org/2001/XMLSchema" xmlns:p="http://schemas.microsoft.com/office/2006/metadata/properties" xmlns:ns2="ea7817a9-3881-4f4f-aa92-d74096d914cd" xmlns:ns3="73471d0f-840b-4345-8c6c-d6c4b28123c1" targetNamespace="http://schemas.microsoft.com/office/2006/metadata/properties" ma:root="true" ma:fieldsID="357d2d82fbaf284c3a624950f00433e1" ns2:_="" ns3:_="">
    <xsd:import namespace="ea7817a9-3881-4f4f-aa92-d74096d914cd"/>
    <xsd:import namespace="73471d0f-840b-4345-8c6c-d6c4b28123c1"/>
    <xsd:element name="properties">
      <xsd:complexType>
        <xsd:sequence>
          <xsd:element name="documentManagement">
            <xsd:complexType>
              <xsd:all>
                <xsd:element ref="ns2:CloudMigratorOriginId" minOccurs="0"/>
                <xsd:element ref="ns2:FileHash" minOccurs="0"/>
                <xsd:element ref="ns2:CloudMigratorVersion" minOccurs="0"/>
                <xsd:element ref="ns2:UniqueSourceRef"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817a9-3881-4f4f-aa92-d74096d914cd" elementFormDefault="qualified">
    <xsd:import namespace="http://schemas.microsoft.com/office/2006/documentManagement/types"/>
    <xsd:import namespace="http://schemas.microsoft.com/office/infopath/2007/PartnerControls"/>
    <xsd:element name="CloudMigratorOriginId" ma:index="8" nillable="true" ma:displayName="CloudMigratorOriginId" ma:description="" ma:internalName="CloudMigratorOriginId">
      <xsd:simpleType>
        <xsd:restriction base="dms:Note">
          <xsd:maxLength value="255"/>
        </xsd:restriction>
      </xsd:simpleType>
    </xsd:element>
    <xsd:element name="FileHash" ma:index="9" nillable="true" ma:displayName="FileHash" ma:description="" ma:internalName="FileHash">
      <xsd:simpleType>
        <xsd:restriction base="dms:Note">
          <xsd:maxLength value="255"/>
        </xsd:restriction>
      </xsd:simpleType>
    </xsd:element>
    <xsd:element name="CloudMigratorVersion" ma:index="10" nillable="true" ma:displayName="CloudMigratorVersion" ma:description="" ma:internalName="CloudMigratorVersion">
      <xsd:simpleType>
        <xsd:restriction base="dms:Note">
          <xsd:maxLength value="255"/>
        </xsd:restriction>
      </xsd:simpleType>
    </xsd:element>
    <xsd:element name="UniqueSourceRef" ma:index="11" nillable="true" ma:displayName="UniqueSourceRef" ma:description="" ma:internalName="UniqueSourceRef">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8d02ede4-aba3-4a4d-b898-de72d79d31b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Hyperlink" ma:index="26" nillable="true" ma:displayName="Hyperlink" ma:format="Dropdown" ma:internalName="Hyp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471d0f-840b-4345-8c6c-d6c4b28123c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04b816c-6304-4a25-b1b9-fdf9241a5af6}" ma:internalName="TaxCatchAll" ma:showField="CatchAllData" ma:web="73471d0f-840b-4345-8c6c-d6c4b28123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niqueSourceRef xmlns="ea7817a9-3881-4f4f-aa92-d74096d914cd" xsi:nil="true"/>
    <Hyperlink xmlns="ea7817a9-3881-4f4f-aa92-d74096d914cd" xsi:nil="true"/>
    <lcf76f155ced4ddcb4097134ff3c332f xmlns="ea7817a9-3881-4f4f-aa92-d74096d914cd">
      <Terms xmlns="http://schemas.microsoft.com/office/infopath/2007/PartnerControls"/>
    </lcf76f155ced4ddcb4097134ff3c332f>
    <CloudMigratorVersion xmlns="ea7817a9-3881-4f4f-aa92-d74096d914cd" xsi:nil="true"/>
    <FileHash xmlns="ea7817a9-3881-4f4f-aa92-d74096d914cd" xsi:nil="true"/>
    <TaxCatchAll xmlns="73471d0f-840b-4345-8c6c-d6c4b28123c1" xsi:nil="true"/>
    <CloudMigratorOriginId xmlns="ea7817a9-3881-4f4f-aa92-d74096d914cd" xsi:nil="true"/>
  </documentManagement>
</p:properties>
</file>

<file path=customXml/itemProps1.xml><?xml version="1.0" encoding="utf-8"?>
<ds:datastoreItem xmlns:ds="http://schemas.openxmlformats.org/officeDocument/2006/customXml" ds:itemID="{13EEA7D6-94C3-43D8-A2FB-2F228F6AB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817a9-3881-4f4f-aa92-d74096d914cd"/>
    <ds:schemaRef ds:uri="73471d0f-840b-4345-8c6c-d6c4b28123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02030-4B54-455F-8327-D8DCEA6E0C40}">
  <ds:schemaRefs>
    <ds:schemaRef ds:uri="http://schemas.microsoft.com/sharepoint/v3/contenttype/forms"/>
  </ds:schemaRefs>
</ds:datastoreItem>
</file>

<file path=customXml/itemProps3.xml><?xml version="1.0" encoding="utf-8"?>
<ds:datastoreItem xmlns:ds="http://schemas.openxmlformats.org/officeDocument/2006/customXml" ds:itemID="{3633A0BF-E3EE-4FB5-8D4A-DE2C41FD9FE1}">
  <ds:schemaRefs>
    <ds:schemaRef ds:uri="http://schemas.microsoft.com/office/2006/metadata/properties"/>
    <ds:schemaRef ds:uri="http://schemas.microsoft.com/office/infopath/2007/PartnerControls"/>
    <ds:schemaRef ds:uri="ea7817a9-3881-4f4f-aa92-d74096d914cd"/>
    <ds:schemaRef ds:uri="73471d0f-840b-4345-8c6c-d6c4b28123c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1227</Words>
  <Characters>7733</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Gautsch | CLAIM</dc:creator>
  <cp:keywords/>
  <dc:description/>
  <cp:lastModifiedBy>Lea Gautsch | CLAIM</cp:lastModifiedBy>
  <cp:revision>3</cp:revision>
  <dcterms:created xsi:type="dcterms:W3CDTF">2026-06-03T10:19:00Z</dcterms:created>
  <dcterms:modified xsi:type="dcterms:W3CDTF">2026-06-03T11:53:00Z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0x0101006CA0A293502283408B3B236558A2CAE3</vt:lpwstr>
  </property>
  <property fmtid="{D5CDD505-2E9C-101B-9397-08002B2CF9AE}" pid="3" name="MediaServiceImageTags">
    <vt:lpwstr/>
  </property>
</Properties>
</file>